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1A34D5" w14:textId="6825B7E0" w:rsidR="00A75D29" w:rsidRPr="002C213F" w:rsidRDefault="00A75D29" w:rsidP="00A75D29">
      <w:pPr>
        <w:tabs>
          <w:tab w:val="left" w:pos="7920"/>
        </w:tabs>
        <w:rPr>
          <w:rFonts w:ascii="Arial" w:hAnsi="Arial" w:cs="Arial"/>
          <w:b/>
          <w:sz w:val="24"/>
          <w:szCs w:val="24"/>
          <w:lang w:val="de-DE"/>
        </w:rPr>
      </w:pPr>
      <w:r>
        <w:rPr>
          <w:rFonts w:ascii="Arial" w:hAnsi="Arial" w:cs="Arial"/>
          <w:b/>
          <w:sz w:val="24"/>
          <w:szCs w:val="24"/>
          <w:lang w:val="de-DE"/>
        </w:rPr>
        <w:t>3GPP TGS-</w:t>
      </w:r>
      <w:r w:rsidRPr="002C213F">
        <w:rPr>
          <w:rFonts w:ascii="Arial" w:hAnsi="Arial" w:cs="Arial"/>
          <w:b/>
          <w:sz w:val="24"/>
          <w:szCs w:val="24"/>
          <w:lang w:val="de-DE"/>
        </w:rPr>
        <w:t>RAN</w:t>
      </w:r>
      <w:r>
        <w:rPr>
          <w:rFonts w:ascii="Arial" w:hAnsi="Arial" w:cs="Arial"/>
          <w:b/>
          <w:sz w:val="24"/>
          <w:szCs w:val="24"/>
          <w:lang w:val="de-DE"/>
        </w:rPr>
        <w:t xml:space="preserve"> WG4 Meeting #86</w:t>
      </w:r>
      <w:r w:rsidR="002564FB">
        <w:rPr>
          <w:rFonts w:ascii="Arial" w:hAnsi="Arial" w:cs="Arial"/>
          <w:b/>
          <w:sz w:val="24"/>
          <w:szCs w:val="24"/>
          <w:lang w:val="de-DE"/>
        </w:rPr>
        <w:t>-Bis</w:t>
      </w:r>
      <w:r>
        <w:rPr>
          <w:rFonts w:ascii="Arial" w:hAnsi="Arial" w:cs="Arial"/>
          <w:b/>
          <w:sz w:val="24"/>
          <w:szCs w:val="24"/>
          <w:lang w:val="de-DE"/>
        </w:rPr>
        <w:tab/>
      </w:r>
      <w:r w:rsidRPr="00CA7495">
        <w:rPr>
          <w:rFonts w:ascii="Arial" w:hAnsi="Arial" w:cs="Arial"/>
          <w:b/>
          <w:sz w:val="24"/>
          <w:szCs w:val="24"/>
          <w:lang w:val="de-DE"/>
        </w:rPr>
        <w:t>R4-1</w:t>
      </w:r>
      <w:r>
        <w:rPr>
          <w:rFonts w:ascii="Arial" w:hAnsi="Arial" w:cs="Arial"/>
          <w:b/>
          <w:sz w:val="24"/>
          <w:szCs w:val="24"/>
          <w:lang w:val="de-DE"/>
        </w:rPr>
        <w:t>8</w:t>
      </w:r>
      <w:r w:rsidR="004B260E">
        <w:rPr>
          <w:rFonts w:ascii="Arial" w:hAnsi="Arial" w:cs="Arial"/>
          <w:b/>
          <w:sz w:val="24"/>
          <w:szCs w:val="24"/>
          <w:lang w:val="de-DE"/>
        </w:rPr>
        <w:t>0</w:t>
      </w:r>
      <w:r w:rsidR="008C46CA">
        <w:rPr>
          <w:rFonts w:ascii="Arial" w:hAnsi="Arial" w:cs="Arial"/>
          <w:b/>
          <w:sz w:val="24"/>
          <w:szCs w:val="24"/>
          <w:lang w:val="de-DE"/>
        </w:rPr>
        <w:t>4124</w:t>
      </w:r>
      <w:r>
        <w:rPr>
          <w:rFonts w:ascii="Arial" w:hAnsi="Arial" w:cs="Arial"/>
          <w:b/>
          <w:sz w:val="24"/>
          <w:szCs w:val="24"/>
          <w:lang w:val="de-DE"/>
        </w:rPr>
        <w:br/>
      </w:r>
      <w:r w:rsidR="002564FB">
        <w:rPr>
          <w:rFonts w:ascii="Arial" w:hAnsi="Arial" w:cs="Arial"/>
          <w:b/>
          <w:sz w:val="24"/>
          <w:szCs w:val="24"/>
        </w:rPr>
        <w:t>Melbourne</w:t>
      </w:r>
      <w:r w:rsidRPr="002C213F">
        <w:rPr>
          <w:rFonts w:ascii="Arial" w:hAnsi="Arial" w:cs="Arial"/>
          <w:b/>
          <w:sz w:val="24"/>
          <w:szCs w:val="24"/>
        </w:rPr>
        <w:t xml:space="preserve">, </w:t>
      </w:r>
      <w:r w:rsidR="002564FB">
        <w:rPr>
          <w:rFonts w:ascii="Arial" w:hAnsi="Arial" w:cs="Arial"/>
          <w:b/>
          <w:sz w:val="24"/>
          <w:szCs w:val="24"/>
        </w:rPr>
        <w:t>Australia</w:t>
      </w:r>
      <w:r w:rsidRPr="002C213F">
        <w:rPr>
          <w:rFonts w:ascii="Arial" w:hAnsi="Arial" w:cs="Arial"/>
          <w:b/>
          <w:sz w:val="24"/>
          <w:szCs w:val="24"/>
        </w:rPr>
        <w:t xml:space="preserve">, </w:t>
      </w:r>
      <w:r w:rsidR="002564FB">
        <w:rPr>
          <w:rFonts w:ascii="Arial" w:hAnsi="Arial" w:cs="Arial"/>
          <w:b/>
          <w:sz w:val="24"/>
          <w:szCs w:val="24"/>
        </w:rPr>
        <w:t>April 1</w:t>
      </w:r>
      <w:r>
        <w:rPr>
          <w:rFonts w:ascii="Arial" w:hAnsi="Arial" w:cs="Arial"/>
          <w:b/>
          <w:sz w:val="24"/>
          <w:szCs w:val="24"/>
        </w:rPr>
        <w:t xml:space="preserve">6 </w:t>
      </w:r>
      <w:r w:rsidRPr="002C213F">
        <w:rPr>
          <w:rFonts w:ascii="Arial" w:hAnsi="Arial" w:cs="Arial"/>
          <w:b/>
          <w:sz w:val="24"/>
          <w:szCs w:val="24"/>
        </w:rPr>
        <w:t xml:space="preserve">– </w:t>
      </w:r>
      <w:r w:rsidR="004864F0">
        <w:rPr>
          <w:rFonts w:ascii="Arial" w:hAnsi="Arial" w:cs="Arial"/>
          <w:b/>
          <w:sz w:val="24"/>
          <w:szCs w:val="24"/>
        </w:rPr>
        <w:t xml:space="preserve">April </w:t>
      </w:r>
      <w:r w:rsidR="002564FB">
        <w:rPr>
          <w:rFonts w:ascii="Arial" w:hAnsi="Arial" w:cs="Arial"/>
          <w:b/>
          <w:sz w:val="24"/>
          <w:szCs w:val="24"/>
        </w:rPr>
        <w:t>20</w:t>
      </w:r>
      <w:r w:rsidRPr="002C213F">
        <w:rPr>
          <w:rFonts w:ascii="Arial" w:hAnsi="Arial" w:cs="Arial"/>
          <w:b/>
          <w:sz w:val="24"/>
          <w:szCs w:val="24"/>
        </w:rPr>
        <w:t>, 201</w:t>
      </w:r>
      <w:r>
        <w:rPr>
          <w:rFonts w:ascii="Arial" w:hAnsi="Arial" w:cs="Arial"/>
          <w:b/>
          <w:sz w:val="24"/>
          <w:szCs w:val="24"/>
        </w:rPr>
        <w:t>8</w:t>
      </w:r>
    </w:p>
    <w:p w14:paraId="1C65602A" w14:textId="77777777" w:rsidR="000918C5" w:rsidRPr="004864F0" w:rsidRDefault="000918C5" w:rsidP="000918C5">
      <w:pPr>
        <w:rPr>
          <w:rFonts w:ascii="Arial" w:hAnsi="Arial" w:cs="Arial"/>
          <w:b/>
          <w:sz w:val="24"/>
          <w:szCs w:val="24"/>
          <w:lang w:val="de-DE"/>
        </w:rPr>
      </w:pPr>
    </w:p>
    <w:p w14:paraId="7826FF10" w14:textId="6DB51B8D" w:rsidR="000918C5" w:rsidRPr="0008103A" w:rsidRDefault="000918C5" w:rsidP="000918C5">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4864F0">
        <w:rPr>
          <w:rFonts w:ascii="Arial" w:hAnsi="Arial" w:cs="Arial"/>
          <w:b/>
          <w:sz w:val="24"/>
          <w:szCs w:val="24"/>
        </w:rPr>
        <w:t>7</w:t>
      </w:r>
      <w:r w:rsidR="003A0290">
        <w:rPr>
          <w:rFonts w:ascii="Arial" w:hAnsi="Arial" w:cs="Arial"/>
          <w:b/>
          <w:sz w:val="24"/>
          <w:szCs w:val="24"/>
        </w:rPr>
        <w:t>.</w:t>
      </w:r>
      <w:r w:rsidR="004864F0">
        <w:rPr>
          <w:rFonts w:ascii="Arial" w:hAnsi="Arial" w:cs="Arial"/>
          <w:b/>
          <w:sz w:val="24"/>
          <w:szCs w:val="24"/>
        </w:rPr>
        <w:t>4</w:t>
      </w:r>
      <w:r w:rsidR="003A0290">
        <w:rPr>
          <w:rFonts w:ascii="Arial" w:hAnsi="Arial" w:cs="Arial"/>
          <w:b/>
          <w:sz w:val="24"/>
          <w:szCs w:val="24"/>
        </w:rPr>
        <w:t>.</w:t>
      </w:r>
      <w:r w:rsidR="004864F0">
        <w:rPr>
          <w:rFonts w:ascii="Arial" w:hAnsi="Arial" w:cs="Arial"/>
          <w:b/>
          <w:sz w:val="24"/>
          <w:szCs w:val="24"/>
        </w:rPr>
        <w:t>8</w:t>
      </w:r>
      <w:r w:rsidR="00450A27">
        <w:rPr>
          <w:rFonts w:ascii="Arial" w:hAnsi="Arial" w:cs="Arial"/>
          <w:b/>
          <w:sz w:val="24"/>
          <w:szCs w:val="24"/>
        </w:rPr>
        <w:t>.</w:t>
      </w:r>
      <w:r w:rsidR="00F945C6">
        <w:rPr>
          <w:rFonts w:ascii="Arial" w:hAnsi="Arial" w:cs="Arial"/>
          <w:b/>
          <w:sz w:val="24"/>
          <w:szCs w:val="24"/>
        </w:rPr>
        <w:t>1</w:t>
      </w:r>
    </w:p>
    <w:p w14:paraId="0B13FC2B" w14:textId="3E3DFEA0" w:rsidR="000918C5" w:rsidRPr="0008103A" w:rsidRDefault="00CF2992" w:rsidP="00481146">
      <w:pPr>
        <w:tabs>
          <w:tab w:val="left" w:pos="2160"/>
        </w:tabs>
        <w:ind w:left="2160" w:hanging="2160"/>
        <w:rPr>
          <w:rFonts w:ascii="Arial" w:hAnsi="Arial" w:cs="Arial"/>
          <w:b/>
          <w:sz w:val="24"/>
          <w:szCs w:val="24"/>
        </w:rPr>
      </w:pPr>
      <w:r>
        <w:rPr>
          <w:rFonts w:ascii="Arial" w:hAnsi="Arial" w:cs="Arial"/>
          <w:b/>
          <w:sz w:val="24"/>
          <w:szCs w:val="24"/>
        </w:rPr>
        <w:t>Source:</w:t>
      </w:r>
      <w:r>
        <w:rPr>
          <w:rFonts w:ascii="Arial" w:hAnsi="Arial" w:cs="Arial"/>
          <w:b/>
          <w:sz w:val="24"/>
          <w:szCs w:val="24"/>
        </w:rPr>
        <w:tab/>
        <w:t>Intel Corporation</w:t>
      </w:r>
    </w:p>
    <w:p w14:paraId="18BDB658" w14:textId="4738C501" w:rsidR="000918C5" w:rsidRPr="0008103A" w:rsidRDefault="000918C5" w:rsidP="000918C5">
      <w:pPr>
        <w:tabs>
          <w:tab w:val="left" w:pos="216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4864F0">
        <w:rPr>
          <w:rFonts w:ascii="Arial" w:hAnsi="Arial" w:cs="Arial"/>
          <w:b/>
          <w:sz w:val="24"/>
          <w:szCs w:val="24"/>
        </w:rPr>
        <w:t xml:space="preserve">On power class </w:t>
      </w:r>
      <w:r w:rsidR="00450A27">
        <w:rPr>
          <w:rFonts w:ascii="Arial" w:hAnsi="Arial" w:cs="Arial"/>
          <w:b/>
          <w:sz w:val="24"/>
          <w:szCs w:val="24"/>
        </w:rPr>
        <w:t xml:space="preserve">for FWA </w:t>
      </w:r>
      <w:r w:rsidR="004864F0">
        <w:rPr>
          <w:rFonts w:ascii="Arial" w:hAnsi="Arial" w:cs="Arial"/>
          <w:b/>
          <w:sz w:val="24"/>
          <w:szCs w:val="24"/>
        </w:rPr>
        <w:t>devices in FR2</w:t>
      </w:r>
    </w:p>
    <w:p w14:paraId="35BE9292" w14:textId="161D20AA" w:rsidR="002B76F4" w:rsidRPr="0008103A" w:rsidRDefault="002B76F4" w:rsidP="002B76F4">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564FB">
        <w:rPr>
          <w:rFonts w:ascii="Arial" w:hAnsi="Arial" w:cs="Arial"/>
          <w:b/>
          <w:sz w:val="24"/>
          <w:szCs w:val="24"/>
        </w:rPr>
        <w:t>Approval</w:t>
      </w:r>
    </w:p>
    <w:p w14:paraId="6B09C613" w14:textId="77777777" w:rsidR="002B76F4" w:rsidRDefault="002B76F4" w:rsidP="002B76F4">
      <w:pPr>
        <w:pStyle w:val="Heading1"/>
      </w:pPr>
      <w:r w:rsidRPr="00647B25">
        <w:t>1</w:t>
      </w:r>
      <w:r w:rsidRPr="00647B25">
        <w:tab/>
        <w:t>Introduction</w:t>
      </w:r>
    </w:p>
    <w:p w14:paraId="6BE99D6E" w14:textId="69DBC590" w:rsidR="00FA6524" w:rsidRPr="00374936" w:rsidRDefault="00B636FF" w:rsidP="00FA6524">
      <w:pPr>
        <w:rPr>
          <w:rFonts w:eastAsia="Batang"/>
        </w:rPr>
      </w:pPr>
      <w:r>
        <w:rPr>
          <w:rFonts w:eastAsia="Batang"/>
        </w:rPr>
        <w:t>FR2 power class a</w:t>
      </w:r>
      <w:r w:rsidR="00FA6524" w:rsidRPr="00374936">
        <w:rPr>
          <w:rFonts w:eastAsia="Batang"/>
        </w:rPr>
        <w:t>greements have evolved o</w:t>
      </w:r>
      <w:r w:rsidR="00E01294" w:rsidRPr="00374936">
        <w:rPr>
          <w:rFonts w:eastAsia="Batang"/>
        </w:rPr>
        <w:t>ver the last months</w:t>
      </w:r>
      <w:r w:rsidR="00D14AB1" w:rsidRPr="00374936">
        <w:rPr>
          <w:rFonts w:eastAsia="Batang"/>
        </w:rPr>
        <w:t xml:space="preserve">. </w:t>
      </w:r>
      <w:r w:rsidR="00FA6524" w:rsidRPr="00374936">
        <w:rPr>
          <w:rFonts w:eastAsia="Batang"/>
        </w:rPr>
        <w:t xml:space="preserve">The parameters </w:t>
      </w:r>
      <w:r w:rsidR="008769A0" w:rsidRPr="00374936">
        <w:rPr>
          <w:rFonts w:eastAsia="Batang"/>
        </w:rPr>
        <w:t>need</w:t>
      </w:r>
      <w:r w:rsidR="00FA6524" w:rsidRPr="00374936">
        <w:rPr>
          <w:rFonts w:eastAsia="Batang"/>
        </w:rPr>
        <w:t>ed to derive the peak EIRP for handheld devices were agreed in [1] and a range for the peak EIRP requirement was approved in [2]. However, no consensus has been found to finalize the requirement [3</w:t>
      </w:r>
      <w:r w:rsidR="00DB2935">
        <w:rPr>
          <w:rFonts w:eastAsia="Batang"/>
        </w:rPr>
        <w:t>-5</w:t>
      </w:r>
      <w:r>
        <w:rPr>
          <w:rFonts w:eastAsia="Batang"/>
        </w:rPr>
        <w:t xml:space="preserve">]. </w:t>
      </w:r>
      <w:r w:rsidR="00506F21">
        <w:rPr>
          <w:rFonts w:eastAsia="Batang"/>
        </w:rPr>
        <w:t>W</w:t>
      </w:r>
      <w:r w:rsidR="00506F21">
        <w:rPr>
          <w:rFonts w:eastAsia="Batang"/>
        </w:rPr>
        <w:t xml:space="preserve">ith a plan </w:t>
      </w:r>
      <w:r w:rsidR="00506F21" w:rsidRPr="00374936">
        <w:rPr>
          <w:rFonts w:eastAsia="Batang"/>
        </w:rPr>
        <w:t>to target Rel-15 timeframe</w:t>
      </w:r>
      <w:r w:rsidR="00506F21">
        <w:rPr>
          <w:rFonts w:eastAsia="Batang"/>
        </w:rPr>
        <w:t>, d</w:t>
      </w:r>
      <w:r>
        <w:rPr>
          <w:rFonts w:eastAsia="Batang"/>
        </w:rPr>
        <w:t xml:space="preserve">uring the </w:t>
      </w:r>
      <w:r w:rsidR="00506F21">
        <w:rPr>
          <w:rFonts w:eastAsia="Batang"/>
        </w:rPr>
        <w:t>AH-1801 meeting</w:t>
      </w:r>
      <w:r w:rsidR="00FA6524" w:rsidRPr="00374936">
        <w:rPr>
          <w:rFonts w:eastAsia="Batang"/>
        </w:rPr>
        <w:t xml:space="preserve"> a new power class UE type for fixed wireless access (FWA) </w:t>
      </w:r>
      <w:r w:rsidR="00506F21">
        <w:rPr>
          <w:rFonts w:eastAsia="Batang"/>
        </w:rPr>
        <w:t>devices was introduced [</w:t>
      </w:r>
      <w:r w:rsidR="00801C50">
        <w:rPr>
          <w:rFonts w:eastAsia="Batang"/>
        </w:rPr>
        <w:t>6</w:t>
      </w:r>
      <w:r w:rsidR="00506F21">
        <w:rPr>
          <w:rFonts w:eastAsia="Batang"/>
        </w:rPr>
        <w:t>]</w:t>
      </w:r>
      <w:r w:rsidR="00FA6524" w:rsidRPr="00374936">
        <w:rPr>
          <w:rFonts w:eastAsia="Batang"/>
        </w:rPr>
        <w:t>.</w:t>
      </w:r>
      <w:r>
        <w:rPr>
          <w:rFonts w:eastAsia="Batang"/>
        </w:rPr>
        <w:t xml:space="preserve"> </w:t>
      </w:r>
      <w:r w:rsidR="00506F21">
        <w:rPr>
          <w:rFonts w:eastAsia="Batang"/>
        </w:rPr>
        <w:t>Lastly, in</w:t>
      </w:r>
      <w:r>
        <w:rPr>
          <w:rFonts w:eastAsia="Batang"/>
        </w:rPr>
        <w:t xml:space="preserve"> </w:t>
      </w:r>
      <w:r w:rsidR="00506F21">
        <w:rPr>
          <w:rFonts w:eastAsia="Batang"/>
        </w:rPr>
        <w:t>RAN4 #86,</w:t>
      </w:r>
      <w:r>
        <w:rPr>
          <w:rFonts w:eastAsia="Batang"/>
        </w:rPr>
        <w:t xml:space="preserve"> </w:t>
      </w:r>
      <w:r w:rsidR="00506F21">
        <w:rPr>
          <w:rFonts w:eastAsia="Batang"/>
        </w:rPr>
        <w:t>the</w:t>
      </w:r>
      <w:r>
        <w:rPr>
          <w:rFonts w:eastAsia="Batang"/>
        </w:rPr>
        <w:t xml:space="preserve"> parameters table for </w:t>
      </w:r>
      <w:r w:rsidR="00506F21">
        <w:rPr>
          <w:rFonts w:eastAsia="Batang"/>
        </w:rPr>
        <w:t xml:space="preserve">FWA </w:t>
      </w:r>
      <w:r>
        <w:rPr>
          <w:rFonts w:eastAsia="Batang"/>
        </w:rPr>
        <w:t xml:space="preserve">peak EIRP calculation was </w:t>
      </w:r>
      <w:r w:rsidR="00506F21">
        <w:rPr>
          <w:rFonts w:eastAsia="Batang"/>
        </w:rPr>
        <w:t xml:space="preserve">discussed and </w:t>
      </w:r>
      <w:r>
        <w:rPr>
          <w:rFonts w:eastAsia="Batang"/>
        </w:rPr>
        <w:t>approved</w:t>
      </w:r>
      <w:r w:rsidR="00506F21">
        <w:rPr>
          <w:rFonts w:eastAsia="Batang"/>
        </w:rPr>
        <w:t xml:space="preserve"> [</w:t>
      </w:r>
      <w:r w:rsidR="00801C50">
        <w:rPr>
          <w:rFonts w:eastAsia="Batang"/>
        </w:rPr>
        <w:t>7</w:t>
      </w:r>
      <w:r w:rsidR="00506F21">
        <w:rPr>
          <w:rFonts w:eastAsia="Batang"/>
        </w:rPr>
        <w:t>]</w:t>
      </w:r>
      <w:r>
        <w:rPr>
          <w:rFonts w:eastAsia="Batang"/>
        </w:rPr>
        <w:t>.</w:t>
      </w:r>
    </w:p>
    <w:p w14:paraId="7C496431" w14:textId="328E34DB" w:rsidR="00FA6524" w:rsidRDefault="00FA6524" w:rsidP="00FA6524">
      <w:pPr>
        <w:rPr>
          <w:rFonts w:eastAsia="Batang"/>
        </w:rPr>
      </w:pPr>
      <w:r w:rsidRPr="00374936">
        <w:rPr>
          <w:rFonts w:eastAsia="Batang"/>
        </w:rPr>
        <w:t xml:space="preserve">This paper summarizes </w:t>
      </w:r>
      <w:r w:rsidR="00B636FF">
        <w:rPr>
          <w:rFonts w:eastAsia="Batang"/>
        </w:rPr>
        <w:t xml:space="preserve">the power class agreements for </w:t>
      </w:r>
      <w:r w:rsidR="008769A0" w:rsidRPr="00374936">
        <w:rPr>
          <w:rFonts w:eastAsia="Batang"/>
        </w:rPr>
        <w:t xml:space="preserve">FWA </w:t>
      </w:r>
      <w:r w:rsidR="00363CDE">
        <w:rPr>
          <w:rFonts w:eastAsia="Batang"/>
        </w:rPr>
        <w:t xml:space="preserve">devices, </w:t>
      </w:r>
      <w:r w:rsidR="00B636FF">
        <w:rPr>
          <w:rFonts w:eastAsia="Batang"/>
        </w:rPr>
        <w:t>present</w:t>
      </w:r>
      <w:r w:rsidRPr="00374936">
        <w:rPr>
          <w:rFonts w:eastAsia="Batang"/>
        </w:rPr>
        <w:t xml:space="preserve">s </w:t>
      </w:r>
      <w:r w:rsidR="00B636FF">
        <w:rPr>
          <w:rFonts w:eastAsia="Batang"/>
        </w:rPr>
        <w:t>an example value for peak EIRP</w:t>
      </w:r>
      <w:r w:rsidR="00506F21">
        <w:rPr>
          <w:rFonts w:eastAsia="Batang"/>
        </w:rPr>
        <w:t xml:space="preserve"> requirement </w:t>
      </w:r>
      <w:r w:rsidR="00363CDE">
        <w:rPr>
          <w:rFonts w:eastAsia="Batang"/>
        </w:rPr>
        <w:t xml:space="preserve">and proposes how to define and divide this UE type </w:t>
      </w:r>
      <w:r w:rsidR="00506F21">
        <w:rPr>
          <w:rFonts w:eastAsia="Batang"/>
        </w:rPr>
        <w:t xml:space="preserve">for </w:t>
      </w:r>
      <w:r w:rsidR="00B636FF">
        <w:rPr>
          <w:rFonts w:eastAsia="Batang"/>
        </w:rPr>
        <w:t>approval</w:t>
      </w:r>
      <w:r w:rsidRPr="00374936">
        <w:rPr>
          <w:rFonts w:eastAsia="Batang"/>
        </w:rPr>
        <w:t>.</w:t>
      </w:r>
    </w:p>
    <w:p w14:paraId="2F3AA334" w14:textId="77777777" w:rsidR="00A9445B" w:rsidRDefault="00A9445B" w:rsidP="00A9445B">
      <w:pPr>
        <w:pStyle w:val="Heading1"/>
        <w:rPr>
          <w:rFonts w:eastAsia="Batang"/>
        </w:rPr>
      </w:pPr>
      <w:r>
        <w:rPr>
          <w:rFonts w:eastAsia="Batang"/>
        </w:rPr>
        <w:t>2</w:t>
      </w:r>
      <w:r>
        <w:rPr>
          <w:rFonts w:eastAsia="Batang"/>
        </w:rPr>
        <w:tab/>
        <w:t>Discussion</w:t>
      </w:r>
    </w:p>
    <w:p w14:paraId="7793BFC7" w14:textId="77777777" w:rsidR="00A9445B" w:rsidRDefault="00A9445B" w:rsidP="00A9445B">
      <w:pPr>
        <w:pStyle w:val="Heading2"/>
        <w:rPr>
          <w:rFonts w:eastAsia="Batang"/>
        </w:rPr>
      </w:pPr>
      <w:r>
        <w:rPr>
          <w:rFonts w:eastAsia="Batang"/>
        </w:rPr>
        <w:t>2.1</w:t>
      </w:r>
      <w:r>
        <w:rPr>
          <w:rFonts w:eastAsia="Batang"/>
        </w:rPr>
        <w:tab/>
        <w:t>Background</w:t>
      </w:r>
    </w:p>
    <w:p w14:paraId="017B45B1" w14:textId="214FED79" w:rsidR="0061155A" w:rsidRDefault="00241971" w:rsidP="0061155A">
      <w:pPr>
        <w:spacing w:before="360" w:after="0"/>
        <w:rPr>
          <w:rFonts w:eastAsia="Batang"/>
          <w:noProof/>
          <w:lang w:val="en-US" w:eastAsia="en-US"/>
        </w:rPr>
      </w:pPr>
      <w:r>
        <w:rPr>
          <w:rFonts w:eastAsia="Batang"/>
        </w:rPr>
        <w:t>T</w:t>
      </w:r>
      <w:r w:rsidR="00161C8B">
        <w:rPr>
          <w:rFonts w:eastAsia="Batang"/>
        </w:rPr>
        <w:t xml:space="preserve">he </w:t>
      </w:r>
      <w:r w:rsidR="00742B5A">
        <w:rPr>
          <w:rFonts w:eastAsia="Batang"/>
        </w:rPr>
        <w:t>deadline for Rel-15</w:t>
      </w:r>
      <w:r w:rsidR="00161C8B">
        <w:rPr>
          <w:rFonts w:eastAsia="Batang"/>
        </w:rPr>
        <w:t xml:space="preserve"> </w:t>
      </w:r>
      <w:r>
        <w:rPr>
          <w:rFonts w:eastAsia="Batang"/>
        </w:rPr>
        <w:t xml:space="preserve">is </w:t>
      </w:r>
      <w:r w:rsidR="00161C8B">
        <w:rPr>
          <w:rFonts w:eastAsia="Batang"/>
        </w:rPr>
        <w:t>fast approaching</w:t>
      </w:r>
      <w:r>
        <w:rPr>
          <w:rFonts w:eastAsia="Batang"/>
        </w:rPr>
        <w:t xml:space="preserve"> and </w:t>
      </w:r>
      <w:r w:rsidR="00742B5A">
        <w:rPr>
          <w:rFonts w:eastAsia="Batang"/>
        </w:rPr>
        <w:t xml:space="preserve">power class </w:t>
      </w:r>
      <w:r w:rsidR="0061155A">
        <w:rPr>
          <w:rFonts w:eastAsia="Batang"/>
        </w:rPr>
        <w:t>definition</w:t>
      </w:r>
      <w:r w:rsidR="00742B5A">
        <w:rPr>
          <w:rFonts w:eastAsia="Batang"/>
        </w:rPr>
        <w:t xml:space="preserve"> </w:t>
      </w:r>
      <w:r>
        <w:rPr>
          <w:rFonts w:eastAsia="Batang"/>
        </w:rPr>
        <w:t xml:space="preserve">in FR2 </w:t>
      </w:r>
      <w:r w:rsidR="00742B5A">
        <w:rPr>
          <w:rFonts w:eastAsia="Batang"/>
        </w:rPr>
        <w:t>need</w:t>
      </w:r>
      <w:r w:rsidR="0061155A">
        <w:rPr>
          <w:rFonts w:eastAsia="Batang"/>
        </w:rPr>
        <w:t>s</w:t>
      </w:r>
      <w:r w:rsidR="00742B5A">
        <w:rPr>
          <w:rFonts w:eastAsia="Batang"/>
        </w:rPr>
        <w:t xml:space="preserve"> to be </w:t>
      </w:r>
      <w:r w:rsidR="00161C8B">
        <w:rPr>
          <w:rFonts w:eastAsia="Batang"/>
        </w:rPr>
        <w:t xml:space="preserve">finalized. </w:t>
      </w:r>
      <w:r>
        <w:rPr>
          <w:rFonts w:eastAsia="Batang"/>
        </w:rPr>
        <w:t>Thus far, discussions have focused on the r</w:t>
      </w:r>
      <w:r w:rsidR="0061155A">
        <w:rPr>
          <w:rFonts w:eastAsia="Batang"/>
        </w:rPr>
        <w:t>equirements for h</w:t>
      </w:r>
      <w:r w:rsidR="00161C8B">
        <w:rPr>
          <w:rFonts w:eastAsia="Batang"/>
        </w:rPr>
        <w:t>andheld UE</w:t>
      </w:r>
      <w:r w:rsidR="0061155A">
        <w:rPr>
          <w:rFonts w:eastAsia="Batang"/>
        </w:rPr>
        <w:t xml:space="preserve"> types</w:t>
      </w:r>
      <w:r>
        <w:rPr>
          <w:rFonts w:eastAsia="Batang"/>
        </w:rPr>
        <w:t xml:space="preserve"> and </w:t>
      </w:r>
      <w:r w:rsidR="0061155A">
        <w:rPr>
          <w:rFonts w:eastAsia="Batang"/>
        </w:rPr>
        <w:t xml:space="preserve">a range of peak EIRP </w:t>
      </w:r>
      <w:r>
        <w:rPr>
          <w:rFonts w:eastAsia="Batang"/>
        </w:rPr>
        <w:t xml:space="preserve">values </w:t>
      </w:r>
      <w:r w:rsidR="0061155A">
        <w:rPr>
          <w:rFonts w:eastAsia="Batang"/>
        </w:rPr>
        <w:t xml:space="preserve">based on data reported by seven companies </w:t>
      </w:r>
      <w:r>
        <w:rPr>
          <w:rFonts w:eastAsia="Batang"/>
        </w:rPr>
        <w:t xml:space="preserve">was approved </w:t>
      </w:r>
      <w:r w:rsidR="0061155A">
        <w:rPr>
          <w:rFonts w:eastAsia="Batang"/>
        </w:rPr>
        <w:t xml:space="preserve">[2]. </w:t>
      </w:r>
      <w:r w:rsidR="0061155A">
        <w:rPr>
          <w:rFonts w:eastAsia="Batang"/>
          <w:noProof/>
          <w:lang w:val="en-US" w:eastAsia="en-US"/>
        </w:rPr>
        <w:t>While the plan was to narrow the range and finalize th</w:t>
      </w:r>
      <w:r>
        <w:rPr>
          <w:rFonts w:eastAsia="Batang"/>
          <w:noProof/>
          <w:lang w:val="en-US" w:eastAsia="en-US"/>
        </w:rPr>
        <w:t>e</w:t>
      </w:r>
      <w:r w:rsidR="0061155A">
        <w:rPr>
          <w:rFonts w:eastAsia="Batang"/>
          <w:noProof/>
          <w:lang w:val="en-US" w:eastAsia="en-US"/>
        </w:rPr>
        <w:t xml:space="preserve"> requirement in the following meeting, no consensus </w:t>
      </w:r>
      <w:r>
        <w:rPr>
          <w:rFonts w:eastAsia="Batang"/>
          <w:noProof/>
          <w:lang w:val="en-US" w:eastAsia="en-US"/>
        </w:rPr>
        <w:t xml:space="preserve">has been </w:t>
      </w:r>
      <w:r w:rsidR="0061155A">
        <w:rPr>
          <w:rFonts w:eastAsia="Batang"/>
          <w:noProof/>
          <w:lang w:val="en-US" w:eastAsia="en-US"/>
        </w:rPr>
        <w:t>found amongst the presented proposals</w:t>
      </w:r>
      <w:r w:rsidR="00772F56">
        <w:rPr>
          <w:rFonts w:eastAsia="Batang"/>
          <w:noProof/>
          <w:lang w:val="en-US" w:eastAsia="en-US"/>
        </w:rPr>
        <w:t xml:space="preserve"> </w:t>
      </w:r>
      <w:r w:rsidR="00363CDE">
        <w:rPr>
          <w:rFonts w:eastAsia="Batang"/>
          <w:noProof/>
          <w:lang w:val="en-US" w:eastAsia="en-US"/>
        </w:rPr>
        <w:t xml:space="preserve">in the last two meetings </w:t>
      </w:r>
      <w:r w:rsidR="0061155A">
        <w:rPr>
          <w:rFonts w:eastAsia="Batang"/>
          <w:noProof/>
          <w:lang w:val="en-US" w:eastAsia="en-US"/>
        </w:rPr>
        <w:t>[3</w:t>
      </w:r>
      <w:r w:rsidR="00363CDE">
        <w:rPr>
          <w:rFonts w:eastAsia="Batang"/>
          <w:noProof/>
          <w:lang w:val="en-US" w:eastAsia="en-US"/>
        </w:rPr>
        <w:t>-5</w:t>
      </w:r>
      <w:r w:rsidR="0061155A">
        <w:rPr>
          <w:rFonts w:eastAsia="Batang"/>
          <w:noProof/>
          <w:lang w:val="en-US" w:eastAsia="en-US"/>
        </w:rPr>
        <w:t>].</w:t>
      </w:r>
    </w:p>
    <w:p w14:paraId="44D0C5C9" w14:textId="77777777" w:rsidR="00161C8B" w:rsidRPr="0061155A" w:rsidRDefault="00161C8B" w:rsidP="00921D5D">
      <w:pPr>
        <w:spacing w:after="0"/>
        <w:rPr>
          <w:rFonts w:eastAsia="Batang"/>
          <w:lang w:val="en-US"/>
        </w:rPr>
      </w:pPr>
    </w:p>
    <w:p w14:paraId="177F1092" w14:textId="4C0A2626" w:rsidR="00CA4B91" w:rsidRDefault="00921D5D" w:rsidP="00CA4B91">
      <w:pPr>
        <w:spacing w:after="60"/>
        <w:rPr>
          <w:rFonts w:eastAsia="Batang"/>
          <w:noProof/>
          <w:lang w:val="en-US" w:eastAsia="en-US"/>
        </w:rPr>
      </w:pPr>
      <w:r>
        <w:rPr>
          <w:rFonts w:eastAsia="Batang"/>
          <w:noProof/>
          <w:lang w:val="en-US" w:eastAsia="en-US"/>
        </w:rPr>
        <w:t xml:space="preserve">Agreements from </w:t>
      </w:r>
      <w:r w:rsidR="00C32E40">
        <w:rPr>
          <w:rFonts w:eastAsia="Batang"/>
          <w:noProof/>
          <w:lang w:val="en-US" w:eastAsia="en-US"/>
        </w:rPr>
        <w:t>RAN4 #85 [</w:t>
      </w:r>
      <w:r w:rsidR="0061155A">
        <w:rPr>
          <w:rFonts w:eastAsia="Batang"/>
          <w:noProof/>
          <w:lang w:val="en-US" w:eastAsia="en-US"/>
        </w:rPr>
        <w:t>2</w:t>
      </w:r>
      <w:r w:rsidR="00C32E40">
        <w:rPr>
          <w:rFonts w:eastAsia="Batang"/>
          <w:noProof/>
          <w:lang w:val="en-US" w:eastAsia="en-US"/>
        </w:rPr>
        <w:t>]</w:t>
      </w:r>
      <w:r w:rsidR="00CA4B91">
        <w:rPr>
          <w:rFonts w:eastAsia="Batang"/>
          <w:noProof/>
          <w:lang w:val="en-US" w:eastAsia="en-US"/>
        </w:rPr>
        <w:t>:</w:t>
      </w:r>
    </w:p>
    <w:p w14:paraId="121BB10B" w14:textId="40F04E21" w:rsidR="00C32E40" w:rsidRDefault="00C32E40" w:rsidP="00911051">
      <w:pPr>
        <w:spacing w:after="240"/>
        <w:rPr>
          <w:rFonts w:eastAsia="Batang"/>
        </w:rPr>
      </w:pPr>
      <w:r w:rsidRPr="002674E6">
        <w:rPr>
          <w:rFonts w:eastAsia="Batang"/>
          <w:noProof/>
          <w:lang w:val="en-US" w:eastAsia="en-US"/>
        </w:rPr>
        <mc:AlternateContent>
          <mc:Choice Requires="wps">
            <w:drawing>
              <wp:inline distT="0" distB="0" distL="0" distR="0" wp14:anchorId="693D630C" wp14:editId="52B1E5F3">
                <wp:extent cx="6122035" cy="861237"/>
                <wp:effectExtent l="0" t="0" r="12065" b="1524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861237"/>
                        </a:xfrm>
                        <a:prstGeom prst="rect">
                          <a:avLst/>
                        </a:prstGeom>
                        <a:solidFill>
                          <a:srgbClr val="FFFFFF"/>
                        </a:solidFill>
                        <a:ln w="9525">
                          <a:solidFill>
                            <a:srgbClr val="000000"/>
                          </a:solidFill>
                          <a:miter lim="800000"/>
                          <a:headEnd/>
                          <a:tailEnd/>
                        </a:ln>
                      </wps:spPr>
                      <wps:txbx>
                        <w:txbxContent>
                          <w:p w14:paraId="4A663113" w14:textId="5B80D706" w:rsidR="00EC3929" w:rsidRDefault="00EC3929" w:rsidP="00C32E40">
                            <w:pPr>
                              <w:pStyle w:val="ListParagraph"/>
                              <w:numPr>
                                <w:ilvl w:val="0"/>
                                <w:numId w:val="16"/>
                              </w:numPr>
                              <w:spacing w:line="259" w:lineRule="auto"/>
                              <w:ind w:left="360"/>
                              <w:rPr>
                                <w:lang w:val="en-US"/>
                              </w:rPr>
                            </w:pPr>
                            <w:r>
                              <w:rPr>
                                <w:lang w:val="en-US"/>
                              </w:rPr>
                              <w:t>The handheld UE peak EIRP range is defined as follows and will be captured in TS38.101-2 in this meeting</w:t>
                            </w:r>
                          </w:p>
                          <w:p w14:paraId="78C5E475" w14:textId="0781F80D" w:rsidR="00EC3929" w:rsidRPr="001F4ACD" w:rsidRDefault="00EC3929" w:rsidP="003B7E38">
                            <w:pPr>
                              <w:pStyle w:val="ListParagraph"/>
                              <w:numPr>
                                <w:ilvl w:val="1"/>
                                <w:numId w:val="16"/>
                              </w:numPr>
                              <w:spacing w:line="259" w:lineRule="auto"/>
                              <w:rPr>
                                <w:lang w:val="en-US"/>
                              </w:rPr>
                            </w:pPr>
                            <w:r>
                              <w:rPr>
                                <w:lang w:val="en-US"/>
                              </w:rPr>
                              <w:t>For 28 GHz: [21.2-25.2] dBm</w:t>
                            </w:r>
                          </w:p>
                          <w:p w14:paraId="48618220" w14:textId="2015BF1A" w:rsidR="00EC3929" w:rsidRPr="001F4ACD" w:rsidRDefault="00EC3929" w:rsidP="003B7E38">
                            <w:pPr>
                              <w:pStyle w:val="ListParagraph"/>
                              <w:numPr>
                                <w:ilvl w:val="1"/>
                                <w:numId w:val="16"/>
                              </w:numPr>
                              <w:spacing w:line="259" w:lineRule="auto"/>
                              <w:rPr>
                                <w:lang w:val="en-US"/>
                              </w:rPr>
                            </w:pPr>
                            <w:r>
                              <w:rPr>
                                <w:lang w:val="en-US"/>
                              </w:rPr>
                              <w:t>For 39 GHz: [19.4-23.7] dBm</w:t>
                            </w:r>
                          </w:p>
                          <w:p w14:paraId="03579551" w14:textId="0199CD14" w:rsidR="00EC3929" w:rsidRPr="003B7E38" w:rsidRDefault="00EC3929" w:rsidP="003B7E38">
                            <w:pPr>
                              <w:pStyle w:val="ListParagraph"/>
                              <w:numPr>
                                <w:ilvl w:val="0"/>
                                <w:numId w:val="16"/>
                              </w:numPr>
                              <w:spacing w:line="259" w:lineRule="auto"/>
                              <w:ind w:left="360"/>
                              <w:rPr>
                                <w:lang w:val="en-US"/>
                              </w:rPr>
                            </w:pPr>
                            <w:r>
                              <w:rPr>
                                <w:lang w:val="en-US"/>
                              </w:rPr>
                              <w:t>Companies are encouraged to provide additional analysis with the intention to finalize the UE peak EIRP requirement</w:t>
                            </w:r>
                          </w:p>
                        </w:txbxContent>
                      </wps:txbx>
                      <wps:bodyPr rot="0" vert="horz" wrap="square" lIns="91440" tIns="45720" rIns="91440" bIns="45720" anchor="t" anchorCtr="0" upright="1">
                        <a:noAutofit/>
                      </wps:bodyPr>
                    </wps:wsp>
                  </a:graphicData>
                </a:graphic>
              </wp:inline>
            </w:drawing>
          </mc:Choice>
          <mc:Fallback>
            <w:pict>
              <v:shapetype w14:anchorId="693D630C" id="_x0000_t202" coordsize="21600,21600" o:spt="202" path="m,l,21600r21600,l21600,xe">
                <v:stroke joinstyle="miter"/>
                <v:path gradientshapeok="t" o:connecttype="rect"/>
              </v:shapetype>
              <v:shape id="Text Box 2" o:spid="_x0000_s1026" type="#_x0000_t202" style="width:482.05pt;height:6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">
                <v:textbox>
                  <w:txbxContent>
                    <w:p w14:paraId="4A663113" w14:textId="5B80D706" w:rsidR="00EC3929" w:rsidRDefault="00EC3929" w:rsidP="00C32E40">
                      <w:pPr>
                        <w:pStyle w:val="ListParagraph"/>
                        <w:numPr>
                          <w:ilvl w:val="0"/>
                          <w:numId w:val="16"/>
                        </w:numPr>
                        <w:spacing w:line="259" w:lineRule="auto"/>
                        <w:ind w:left="360"/>
                        <w:rPr>
                          <w:lang w:val="en-US"/>
                        </w:rPr>
                      </w:pPr>
                      <w:r>
                        <w:rPr>
                          <w:lang w:val="en-US"/>
                        </w:rPr>
                        <w:t>The handheld UE peak EIRP range is defined as follows and will be captured in TS38.101-2 in this meeting</w:t>
                      </w:r>
                    </w:p>
                    <w:p w14:paraId="78C5E475" w14:textId="0781F80D" w:rsidR="00EC3929" w:rsidRPr="001F4ACD" w:rsidRDefault="00EC3929" w:rsidP="003B7E38">
                      <w:pPr>
                        <w:pStyle w:val="ListParagraph"/>
                        <w:numPr>
                          <w:ilvl w:val="1"/>
                          <w:numId w:val="16"/>
                        </w:numPr>
                        <w:spacing w:line="259" w:lineRule="auto"/>
                        <w:rPr>
                          <w:lang w:val="en-US"/>
                        </w:rPr>
                      </w:pPr>
                      <w:r>
                        <w:rPr>
                          <w:lang w:val="en-US"/>
                        </w:rPr>
                        <w:t>For 28 GHz: [21.2-25.2] dBm</w:t>
                      </w:r>
                    </w:p>
                    <w:p w14:paraId="48618220" w14:textId="2015BF1A" w:rsidR="00EC3929" w:rsidRPr="001F4ACD" w:rsidRDefault="00EC3929" w:rsidP="003B7E38">
                      <w:pPr>
                        <w:pStyle w:val="ListParagraph"/>
                        <w:numPr>
                          <w:ilvl w:val="1"/>
                          <w:numId w:val="16"/>
                        </w:numPr>
                        <w:spacing w:line="259" w:lineRule="auto"/>
                        <w:rPr>
                          <w:lang w:val="en-US"/>
                        </w:rPr>
                      </w:pPr>
                      <w:r>
                        <w:rPr>
                          <w:lang w:val="en-US"/>
                        </w:rPr>
                        <w:t>For 39 GHz: [19.4-23.7] dBm</w:t>
                      </w:r>
                    </w:p>
                    <w:p w14:paraId="03579551" w14:textId="0199CD14" w:rsidR="00EC3929" w:rsidRPr="003B7E38" w:rsidRDefault="00EC3929" w:rsidP="003B7E38">
                      <w:pPr>
                        <w:pStyle w:val="ListParagraph"/>
                        <w:numPr>
                          <w:ilvl w:val="0"/>
                          <w:numId w:val="16"/>
                        </w:numPr>
                        <w:spacing w:line="259" w:lineRule="auto"/>
                        <w:ind w:left="360"/>
                        <w:rPr>
                          <w:lang w:val="en-US"/>
                        </w:rPr>
                      </w:pPr>
                      <w:r>
                        <w:rPr>
                          <w:lang w:val="en-US"/>
                        </w:rPr>
                        <w:t>Companies are encouraged to provide additional analysis with the intention to finalize the UE peak EIRP requirement</w:t>
                      </w:r>
                    </w:p>
                  </w:txbxContent>
                </v:textbox>
                <w10:anchorlock/>
              </v:shape>
            </w:pict>
          </mc:Fallback>
        </mc:AlternateContent>
      </w:r>
    </w:p>
    <w:p w14:paraId="488515D1" w14:textId="1B5029FC" w:rsidR="0061155A" w:rsidRDefault="0061155A" w:rsidP="0061155A">
      <w:pPr>
        <w:spacing w:after="0"/>
        <w:rPr>
          <w:rFonts w:eastAsia="Batang"/>
        </w:rPr>
      </w:pPr>
      <w:r>
        <w:rPr>
          <w:rFonts w:eastAsia="Batang"/>
        </w:rPr>
        <w:t xml:space="preserve">A new power class UE type for fixed </w:t>
      </w:r>
      <w:r w:rsidR="001010EE">
        <w:rPr>
          <w:rFonts w:eastAsia="Batang"/>
        </w:rPr>
        <w:t xml:space="preserve">wireless access (FWA) </w:t>
      </w:r>
      <w:r>
        <w:rPr>
          <w:rFonts w:eastAsia="Batang"/>
        </w:rPr>
        <w:t>devices was approv</w:t>
      </w:r>
      <w:r w:rsidR="007523BC">
        <w:rPr>
          <w:rFonts w:eastAsia="Batang"/>
        </w:rPr>
        <w:t xml:space="preserve">ed during AH-1801 </w:t>
      </w:r>
      <w:r>
        <w:rPr>
          <w:rFonts w:eastAsia="Batang"/>
        </w:rPr>
        <w:t>and its requirements also target the Rel-15 scope</w:t>
      </w:r>
      <w:r w:rsidR="007523BC">
        <w:rPr>
          <w:rFonts w:eastAsia="Batang"/>
        </w:rPr>
        <w:t xml:space="preserve"> [</w:t>
      </w:r>
      <w:r w:rsidR="00801C50">
        <w:rPr>
          <w:rFonts w:eastAsia="Batang"/>
        </w:rPr>
        <w:t>6</w:t>
      </w:r>
      <w:r w:rsidR="007523BC">
        <w:rPr>
          <w:rFonts w:eastAsia="Batang"/>
        </w:rPr>
        <w:t>]. The agreements for th</w:t>
      </w:r>
      <w:r w:rsidR="00352B15">
        <w:rPr>
          <w:rFonts w:eastAsia="Batang"/>
        </w:rPr>
        <w:t>is</w:t>
      </w:r>
      <w:r w:rsidR="007523BC">
        <w:rPr>
          <w:rFonts w:eastAsia="Batang"/>
        </w:rPr>
        <w:t xml:space="preserve"> UE type stipulate assessing impact on UE requirements and aligning on evaluation parameters</w:t>
      </w:r>
      <w:r w:rsidR="00352B15">
        <w:rPr>
          <w:rFonts w:eastAsia="Batang"/>
        </w:rPr>
        <w:t xml:space="preserve"> needed </w:t>
      </w:r>
      <w:r w:rsidR="00490BE3">
        <w:rPr>
          <w:rFonts w:eastAsia="Batang"/>
        </w:rPr>
        <w:t>to derive</w:t>
      </w:r>
      <w:r w:rsidR="00352B15">
        <w:rPr>
          <w:rFonts w:eastAsia="Batang"/>
        </w:rPr>
        <w:t xml:space="preserve"> </w:t>
      </w:r>
      <w:r w:rsidR="00490BE3">
        <w:rPr>
          <w:rFonts w:eastAsia="Batang"/>
        </w:rPr>
        <w:t xml:space="preserve">the minimum </w:t>
      </w:r>
      <w:r w:rsidR="00352B15">
        <w:rPr>
          <w:rFonts w:eastAsia="Batang"/>
        </w:rPr>
        <w:t>peak EIRP</w:t>
      </w:r>
      <w:r w:rsidR="00490BE3">
        <w:rPr>
          <w:rFonts w:eastAsia="Batang"/>
        </w:rPr>
        <w:t xml:space="preserve"> requirement</w:t>
      </w:r>
      <w:r w:rsidR="007523BC">
        <w:rPr>
          <w:rFonts w:eastAsia="Batang"/>
        </w:rPr>
        <w:t>.</w:t>
      </w:r>
      <w:r w:rsidR="00490BE3">
        <w:rPr>
          <w:rFonts w:eastAsia="Batang"/>
        </w:rPr>
        <w:t xml:space="preserve"> </w:t>
      </w:r>
    </w:p>
    <w:p w14:paraId="7E3247F5" w14:textId="77777777" w:rsidR="0061155A" w:rsidRDefault="0061155A" w:rsidP="0061155A">
      <w:pPr>
        <w:spacing w:after="0"/>
        <w:rPr>
          <w:rFonts w:eastAsia="Batang"/>
        </w:rPr>
      </w:pPr>
    </w:p>
    <w:p w14:paraId="193331FD" w14:textId="57A5CA69" w:rsidR="007523BC" w:rsidRDefault="007523BC" w:rsidP="0061155A">
      <w:pPr>
        <w:spacing w:after="240"/>
        <w:rPr>
          <w:rFonts w:eastAsia="Batang"/>
          <w:noProof/>
          <w:lang w:val="en-US" w:eastAsia="en-US"/>
        </w:rPr>
      </w:pPr>
      <w:r>
        <w:rPr>
          <w:rFonts w:eastAsia="Batang"/>
          <w:noProof/>
          <w:lang w:val="en-US" w:eastAsia="en-US"/>
        </w:rPr>
        <mc:AlternateContent>
          <mc:Choice Requires="wps">
            <w:drawing>
              <wp:inline distT="0" distB="0" distL="0" distR="0" wp14:anchorId="0E52FB22" wp14:editId="292E6BFF">
                <wp:extent cx="6145530" cy="1422023"/>
                <wp:effectExtent l="0" t="0" r="26670" b="2159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5530" cy="1422023"/>
                        </a:xfrm>
                        <a:prstGeom prst="rect">
                          <a:avLst/>
                        </a:prstGeom>
                        <a:solidFill>
                          <a:srgbClr val="FFFFFF"/>
                        </a:solidFill>
                        <a:ln w="9525">
                          <a:solidFill>
                            <a:srgbClr val="000000"/>
                          </a:solidFill>
                          <a:miter lim="800000"/>
                          <a:headEnd/>
                          <a:tailEnd/>
                        </a:ln>
                      </wps:spPr>
                      <wps:txbx>
                        <w:txbxContent>
                          <w:p w14:paraId="3DD23C55" w14:textId="2F349893" w:rsidR="00EC3929" w:rsidRPr="00FB3E76" w:rsidRDefault="00EC3929" w:rsidP="007523BC">
                            <w:pPr>
                              <w:tabs>
                                <w:tab w:val="num" w:pos="720"/>
                              </w:tabs>
                              <w:overflowPunct/>
                              <w:autoSpaceDE/>
                              <w:autoSpaceDN/>
                              <w:adjustRightInd/>
                              <w:spacing w:after="0" w:line="259" w:lineRule="auto"/>
                              <w:ind w:left="360"/>
                              <w:textAlignment w:val="auto"/>
                              <w:rPr>
                                <w:lang w:val="en-US"/>
                              </w:rPr>
                            </w:pPr>
                            <w:r>
                              <w:rPr>
                                <w:noProof/>
                                <w:lang w:val="en-US" w:eastAsia="en-US"/>
                              </w:rPr>
                              <w:drawing>
                                <wp:inline distT="0" distB="0" distL="0" distR="0" wp14:anchorId="26177320" wp14:editId="6CD040B9">
                                  <wp:extent cx="4288155" cy="1612416"/>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t="15215"/>
                                          <a:stretch/>
                                        </pic:blipFill>
                                        <pic:spPr bwMode="auto">
                                          <a:xfrm>
                                            <a:off x="0" y="0"/>
                                            <a:ext cx="4288536" cy="1612559"/>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spAutoFit/>
                      </wps:bodyPr>
                    </wps:wsp>
                  </a:graphicData>
                </a:graphic>
              </wp:inline>
            </w:drawing>
          </mc:Choice>
          <mc:Fallback>
            <w:pict>
              <v:shape w14:anchorId="0E52FB22" id="Text Box 5" o:spid="_x0000_s1027" type="#_x0000_t202" style="width:483.9pt;height:11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">
                <v:textbox style="mso-fit-shape-to-text:t">
                  <w:txbxContent>
                    <w:p w14:paraId="3DD23C55" w14:textId="2F349893" w:rsidR="00EC3929" w:rsidRPr="00FB3E76" w:rsidRDefault="00EC3929" w:rsidP="007523BC">
                      <w:pPr>
                        <w:tabs>
                          <w:tab w:val="num" w:pos="720"/>
                        </w:tabs>
                        <w:overflowPunct/>
                        <w:autoSpaceDE/>
                        <w:autoSpaceDN/>
                        <w:adjustRightInd/>
                        <w:spacing w:after="0" w:line="259" w:lineRule="auto"/>
                        <w:ind w:left="360"/>
                        <w:textAlignment w:val="auto"/>
                        <w:rPr>
                          <w:lang w:val="en-US"/>
                        </w:rPr>
                      </w:pPr>
                      <w:r>
                        <w:rPr>
                          <w:noProof/>
                          <w:lang w:val="en-US" w:eastAsia="en-US"/>
                        </w:rPr>
                        <w:drawing>
                          <wp:inline distT="0" distB="0" distL="0" distR="0" wp14:anchorId="26177320" wp14:editId="6CD040B9">
                            <wp:extent cx="4288155" cy="1612416"/>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t="15215"/>
                                    <a:stretch/>
                                  </pic:blipFill>
                                  <pic:spPr bwMode="auto">
                                    <a:xfrm>
                                      <a:off x="0" y="0"/>
                                      <a:ext cx="4288536" cy="1612559"/>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w10:anchorlock/>
              </v:shape>
            </w:pict>
          </mc:Fallback>
        </mc:AlternateContent>
      </w:r>
    </w:p>
    <w:p w14:paraId="09CF6D46" w14:textId="08AB4757" w:rsidR="007523BC" w:rsidRDefault="007523BC" w:rsidP="007523BC">
      <w:pPr>
        <w:spacing w:after="120"/>
        <w:rPr>
          <w:rFonts w:eastAsia="Batang"/>
          <w:noProof/>
          <w:lang w:val="en-US" w:eastAsia="en-US"/>
        </w:rPr>
      </w:pPr>
      <w:r>
        <w:rPr>
          <w:rFonts w:eastAsia="Batang"/>
        </w:rPr>
        <w:lastRenderedPageBreak/>
        <w:t xml:space="preserve">Work plan for FWA </w:t>
      </w:r>
      <w:r>
        <w:rPr>
          <w:rFonts w:eastAsia="Batang"/>
        </w:rPr>
        <w:fldChar w:fldCharType="begin"/>
      </w:r>
      <w:r>
        <w:rPr>
          <w:rFonts w:eastAsia="Batang"/>
        </w:rPr>
        <w:instrText xml:space="preserve"> REF _Ref497513683 \r \h </w:instrText>
      </w:r>
      <w:r>
        <w:rPr>
          <w:rFonts w:eastAsia="Batang"/>
        </w:rPr>
      </w:r>
      <w:r>
        <w:rPr>
          <w:rFonts w:eastAsia="Batang"/>
        </w:rPr>
        <w:fldChar w:fldCharType="separate"/>
      </w:r>
      <w:r>
        <w:rPr>
          <w:rFonts w:eastAsia="Batang"/>
        </w:rPr>
        <w:t>[</w:t>
      </w:r>
      <w:r w:rsidR="00241971">
        <w:rPr>
          <w:rFonts w:eastAsia="Batang"/>
        </w:rPr>
        <w:t>6</w:t>
      </w:r>
      <w:r>
        <w:rPr>
          <w:rFonts w:eastAsia="Batang"/>
        </w:rPr>
        <w:t>]</w:t>
      </w:r>
      <w:r>
        <w:rPr>
          <w:rFonts w:eastAsia="Batang"/>
        </w:rPr>
        <w:fldChar w:fldCharType="end"/>
      </w:r>
      <w:r>
        <w:rPr>
          <w:rFonts w:eastAsia="Batang"/>
        </w:rPr>
        <w:t>:</w:t>
      </w:r>
      <w:r w:rsidRPr="00AC5A61">
        <w:rPr>
          <w:rFonts w:eastAsia="Batang"/>
          <w:noProof/>
          <w:lang w:val="en-US" w:eastAsia="en-US"/>
        </w:rPr>
        <w:t xml:space="preserve"> </w:t>
      </w:r>
    </w:p>
    <w:p w14:paraId="1624F1D4" w14:textId="77777777" w:rsidR="0061155A" w:rsidRDefault="0061155A" w:rsidP="0061155A">
      <w:pPr>
        <w:spacing w:after="240"/>
        <w:rPr>
          <w:rFonts w:eastAsia="Batang"/>
          <w:noProof/>
          <w:lang w:val="en-US" w:eastAsia="en-US"/>
        </w:rPr>
      </w:pPr>
      <w:r>
        <w:rPr>
          <w:rFonts w:eastAsia="Batang"/>
          <w:noProof/>
          <w:lang w:val="en-US" w:eastAsia="en-US"/>
        </w:rPr>
        <mc:AlternateContent>
          <mc:Choice Requires="wps">
            <w:drawing>
              <wp:inline distT="0" distB="0" distL="0" distR="0" wp14:anchorId="225E1B99" wp14:editId="4C20E81C">
                <wp:extent cx="6145530" cy="1840230"/>
                <wp:effectExtent l="0" t="0" r="26670" b="2032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5530" cy="1840230"/>
                        </a:xfrm>
                        <a:prstGeom prst="rect">
                          <a:avLst/>
                        </a:prstGeom>
                        <a:solidFill>
                          <a:srgbClr val="FFFFFF"/>
                        </a:solidFill>
                        <a:ln w="9525">
                          <a:solidFill>
                            <a:srgbClr val="000000"/>
                          </a:solidFill>
                          <a:miter lim="800000"/>
                          <a:headEnd/>
                          <a:tailEnd/>
                        </a:ln>
                      </wps:spPr>
                      <wps:txbx>
                        <w:txbxContent>
                          <w:p w14:paraId="39A19ACC" w14:textId="67D3511F" w:rsidR="00EC3929" w:rsidRPr="00FB3E76" w:rsidRDefault="00EC3929" w:rsidP="007523BC">
                            <w:pPr>
                              <w:tabs>
                                <w:tab w:val="num" w:pos="720"/>
                              </w:tabs>
                              <w:overflowPunct/>
                              <w:autoSpaceDE/>
                              <w:autoSpaceDN/>
                              <w:adjustRightInd/>
                              <w:spacing w:after="0" w:line="259" w:lineRule="auto"/>
                              <w:ind w:left="360"/>
                              <w:textAlignment w:val="auto"/>
                              <w:rPr>
                                <w:lang w:val="en-US"/>
                              </w:rPr>
                            </w:pPr>
                            <w:r>
                              <w:rPr>
                                <w:noProof/>
                                <w:lang w:val="en-US" w:eastAsia="en-US"/>
                              </w:rPr>
                              <w:drawing>
                                <wp:inline distT="0" distB="0" distL="0" distR="0" wp14:anchorId="0B3394D7" wp14:editId="176F9680">
                                  <wp:extent cx="3893866" cy="1315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t="34571" b="1"/>
                                          <a:stretch/>
                                        </pic:blipFill>
                                        <pic:spPr bwMode="auto">
                                          <a:xfrm>
                                            <a:off x="0" y="0"/>
                                            <a:ext cx="3895344" cy="1316220"/>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spAutoFit/>
                      </wps:bodyPr>
                    </wps:wsp>
                  </a:graphicData>
                </a:graphic>
              </wp:inline>
            </w:drawing>
          </mc:Choice>
          <mc:Fallback>
            <w:pict>
              <v:shape w14:anchorId="225E1B99" id="Text Box 1" o:spid="_x0000_s1028" type="#_x0000_t202" style="width:483.9pt;height:14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">
                <v:textbox style="mso-fit-shape-to-text:t">
                  <w:txbxContent>
                    <w:p w14:paraId="39A19ACC" w14:textId="67D3511F" w:rsidR="00EC3929" w:rsidRPr="00FB3E76" w:rsidRDefault="00EC3929" w:rsidP="007523BC">
                      <w:pPr>
                        <w:tabs>
                          <w:tab w:val="num" w:pos="720"/>
                        </w:tabs>
                        <w:overflowPunct/>
                        <w:autoSpaceDE/>
                        <w:autoSpaceDN/>
                        <w:adjustRightInd/>
                        <w:spacing w:after="0" w:line="259" w:lineRule="auto"/>
                        <w:ind w:left="360"/>
                        <w:textAlignment w:val="auto"/>
                        <w:rPr>
                          <w:lang w:val="en-US"/>
                        </w:rPr>
                      </w:pPr>
                      <w:r>
                        <w:rPr>
                          <w:noProof/>
                          <w:lang w:val="en-US" w:eastAsia="en-US"/>
                        </w:rPr>
                        <w:drawing>
                          <wp:inline distT="0" distB="0" distL="0" distR="0" wp14:anchorId="0B3394D7" wp14:editId="176F9680">
                            <wp:extent cx="3893866" cy="1315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t="34571" b="1"/>
                                    <a:stretch/>
                                  </pic:blipFill>
                                  <pic:spPr bwMode="auto">
                                    <a:xfrm>
                                      <a:off x="0" y="0"/>
                                      <a:ext cx="3895344" cy="1316220"/>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w10:anchorlock/>
              </v:shape>
            </w:pict>
          </mc:Fallback>
        </mc:AlternateContent>
      </w:r>
    </w:p>
    <w:p w14:paraId="6D6766CF" w14:textId="10AC3BB3" w:rsidR="00954EEE" w:rsidRDefault="00954EEE" w:rsidP="00954EEE">
      <w:pPr>
        <w:spacing w:after="0"/>
        <w:rPr>
          <w:rFonts w:eastAsia="Batang"/>
        </w:rPr>
      </w:pPr>
      <w:r>
        <w:rPr>
          <w:rFonts w:eastAsia="Batang"/>
        </w:rPr>
        <w:t xml:space="preserve">To align on the evaluation parameters for the new UE type, a table was approved </w:t>
      </w:r>
      <w:r w:rsidR="00F6458C">
        <w:rPr>
          <w:rFonts w:eastAsia="Batang"/>
        </w:rPr>
        <w:t>in RAN4 #86</w:t>
      </w:r>
      <w:r>
        <w:rPr>
          <w:rFonts w:eastAsia="Batang"/>
        </w:rPr>
        <w:t xml:space="preserve"> [7].</w:t>
      </w:r>
      <w:r>
        <w:rPr>
          <w:rFonts w:eastAsia="Batang"/>
        </w:rPr>
        <w:t xml:space="preserve"> During this meeting, </w:t>
      </w:r>
      <w:r w:rsidR="00F6458C">
        <w:rPr>
          <w:rFonts w:eastAsia="Batang"/>
        </w:rPr>
        <w:t>it was also brought up that both use case and deployment scenarios should be clarified to assess how to apply the UE feature list to these devices [</w:t>
      </w:r>
      <w:r w:rsidR="008F5DD8">
        <w:rPr>
          <w:rFonts w:eastAsia="Batang"/>
        </w:rPr>
        <w:t>8</w:t>
      </w:r>
      <w:r w:rsidR="00F6458C">
        <w:rPr>
          <w:rFonts w:eastAsia="Batang"/>
        </w:rPr>
        <w:t>].</w:t>
      </w:r>
    </w:p>
    <w:p w14:paraId="13F2502A" w14:textId="5B9674D2" w:rsidR="00637FE8" w:rsidRPr="0099563D" w:rsidRDefault="00637FE8" w:rsidP="00911051">
      <w:pPr>
        <w:spacing w:after="240"/>
        <w:rPr>
          <w:rFonts w:eastAsia="Batang"/>
        </w:rPr>
      </w:pPr>
    </w:p>
    <w:p w14:paraId="6F48F31D" w14:textId="58AF6F9F" w:rsidR="00A9445B" w:rsidRDefault="00A9445B" w:rsidP="00A9445B">
      <w:pPr>
        <w:pStyle w:val="Heading2"/>
        <w:rPr>
          <w:rFonts w:eastAsia="Batang"/>
        </w:rPr>
      </w:pPr>
      <w:r>
        <w:rPr>
          <w:rFonts w:eastAsia="Batang"/>
        </w:rPr>
        <w:t>2.2</w:t>
      </w:r>
      <w:r>
        <w:rPr>
          <w:rFonts w:eastAsia="Batang"/>
        </w:rPr>
        <w:tab/>
      </w:r>
      <w:r w:rsidR="000B01CD">
        <w:rPr>
          <w:rFonts w:eastAsia="Batang"/>
        </w:rPr>
        <w:t>Defining</w:t>
      </w:r>
      <w:r w:rsidR="000C16A6">
        <w:rPr>
          <w:rFonts w:eastAsia="Batang"/>
        </w:rPr>
        <w:t xml:space="preserve"> FR2 Power Class</w:t>
      </w:r>
    </w:p>
    <w:p w14:paraId="6FA96A5F" w14:textId="3AA97F34" w:rsidR="004B10AD" w:rsidRPr="00B401A4" w:rsidRDefault="00695569" w:rsidP="000C16A6">
      <w:pPr>
        <w:spacing w:after="0"/>
        <w:rPr>
          <w:rFonts w:eastAsia="Batang"/>
        </w:rPr>
      </w:pPr>
      <w:r>
        <w:rPr>
          <w:rFonts w:eastAsia="Batang"/>
        </w:rPr>
        <w:t>D</w:t>
      </w:r>
      <w:r w:rsidR="00E34169">
        <w:rPr>
          <w:rFonts w:eastAsia="Batang"/>
        </w:rPr>
        <w:t xml:space="preserve">iscussions on </w:t>
      </w:r>
      <w:r>
        <w:rPr>
          <w:rFonts w:eastAsia="Batang"/>
        </w:rPr>
        <w:t>how</w:t>
      </w:r>
      <w:r w:rsidR="00E34169">
        <w:rPr>
          <w:rFonts w:eastAsia="Batang"/>
        </w:rPr>
        <w:t xml:space="preserve"> to narrow </w:t>
      </w:r>
      <w:r>
        <w:rPr>
          <w:rFonts w:eastAsia="Batang"/>
        </w:rPr>
        <w:t xml:space="preserve">and finalize </w:t>
      </w:r>
      <w:r w:rsidR="00E34169">
        <w:rPr>
          <w:rFonts w:eastAsia="Batang"/>
        </w:rPr>
        <w:t xml:space="preserve">the </w:t>
      </w:r>
      <w:r w:rsidR="004B10AD">
        <w:rPr>
          <w:rFonts w:eastAsia="Batang"/>
        </w:rPr>
        <w:t xml:space="preserve">peak EIRP </w:t>
      </w:r>
      <w:r w:rsidR="00E34169">
        <w:rPr>
          <w:rFonts w:eastAsia="Batang"/>
        </w:rPr>
        <w:t xml:space="preserve">range </w:t>
      </w:r>
      <w:r w:rsidR="004B10AD">
        <w:rPr>
          <w:rFonts w:eastAsia="Batang"/>
        </w:rPr>
        <w:t>for handheld devices</w:t>
      </w:r>
      <w:r w:rsidR="00E34169">
        <w:rPr>
          <w:rFonts w:eastAsia="Batang"/>
        </w:rPr>
        <w:t xml:space="preserve"> </w:t>
      </w:r>
      <w:r w:rsidR="00F6458C">
        <w:rPr>
          <w:rFonts w:eastAsia="Batang"/>
        </w:rPr>
        <w:t xml:space="preserve">are still on-going. </w:t>
      </w:r>
      <w:r w:rsidR="004B10AD">
        <w:rPr>
          <w:rFonts w:eastAsia="Batang"/>
        </w:rPr>
        <w:t xml:space="preserve">While </w:t>
      </w:r>
      <w:r>
        <w:rPr>
          <w:rFonts w:eastAsia="Batang"/>
        </w:rPr>
        <w:t>t</w:t>
      </w:r>
      <w:r w:rsidR="00F6458C">
        <w:rPr>
          <w:rFonts w:eastAsia="Batang"/>
        </w:rPr>
        <w:t xml:space="preserve">his </w:t>
      </w:r>
      <w:r w:rsidR="00F6458C" w:rsidRPr="00B401A4">
        <w:rPr>
          <w:rFonts w:eastAsia="Batang"/>
        </w:rPr>
        <w:t>debate continues</w:t>
      </w:r>
      <w:r w:rsidR="004B10AD" w:rsidRPr="00B401A4">
        <w:rPr>
          <w:rFonts w:eastAsia="Batang"/>
        </w:rPr>
        <w:t xml:space="preserve">, the issue of a higher peak EIRP required by operators remains. If consensus is found and the </w:t>
      </w:r>
      <w:r w:rsidR="00D30FC8" w:rsidRPr="00B401A4">
        <w:rPr>
          <w:rFonts w:eastAsia="Batang"/>
        </w:rPr>
        <w:t xml:space="preserve">handheld </w:t>
      </w:r>
      <w:r w:rsidR="004B10AD" w:rsidRPr="00B401A4">
        <w:rPr>
          <w:rFonts w:eastAsia="Batang"/>
        </w:rPr>
        <w:t xml:space="preserve">peak EIRP value </w:t>
      </w:r>
      <w:r w:rsidR="00D30FC8" w:rsidRPr="00B401A4">
        <w:rPr>
          <w:rFonts w:eastAsia="Batang"/>
        </w:rPr>
        <w:t xml:space="preserve">is </w:t>
      </w:r>
      <w:r w:rsidR="004B10AD" w:rsidRPr="00B401A4">
        <w:rPr>
          <w:rFonts w:eastAsia="Batang"/>
        </w:rPr>
        <w:t>lower than expect</w:t>
      </w:r>
      <w:r w:rsidR="002955F3" w:rsidRPr="00B401A4">
        <w:rPr>
          <w:rFonts w:eastAsia="Batang"/>
        </w:rPr>
        <w:t>ed</w:t>
      </w:r>
      <w:r w:rsidR="004B10AD" w:rsidRPr="00B401A4">
        <w:rPr>
          <w:rFonts w:eastAsia="Batang"/>
        </w:rPr>
        <w:t>, a higher peak EIRP can be obtained from other UE types.</w:t>
      </w:r>
    </w:p>
    <w:p w14:paraId="5166E4D1" w14:textId="77777777" w:rsidR="004B10AD" w:rsidRPr="00B401A4" w:rsidRDefault="004B10AD" w:rsidP="000C16A6">
      <w:pPr>
        <w:spacing w:after="0"/>
        <w:rPr>
          <w:rFonts w:eastAsia="Batang"/>
        </w:rPr>
      </w:pPr>
    </w:p>
    <w:p w14:paraId="4560A574" w14:textId="1381B753" w:rsidR="00537161" w:rsidRPr="00B401A4" w:rsidRDefault="00537161" w:rsidP="00537161">
      <w:pPr>
        <w:spacing w:after="0"/>
      </w:pPr>
      <w:r w:rsidRPr="00B401A4">
        <w:rPr>
          <w:b/>
        </w:rPr>
        <w:t>Observation 1:</w:t>
      </w:r>
      <w:r w:rsidRPr="00B401A4">
        <w:t xml:space="preserve"> Having separate </w:t>
      </w:r>
      <w:r w:rsidR="00C12765" w:rsidRPr="00B401A4">
        <w:t>UE</w:t>
      </w:r>
      <w:r w:rsidRPr="00B401A4">
        <w:t xml:space="preserve"> type requirements </w:t>
      </w:r>
      <w:r w:rsidR="004A4269" w:rsidRPr="00B401A4">
        <w:t>may</w:t>
      </w:r>
      <w:r w:rsidRPr="00B401A4">
        <w:t xml:space="preserve"> help bridge the gap in the expected </w:t>
      </w:r>
      <w:r w:rsidR="00F6458C" w:rsidRPr="00B401A4">
        <w:t xml:space="preserve">minimum </w:t>
      </w:r>
      <w:r w:rsidRPr="00B401A4">
        <w:t>peak EIRP</w:t>
      </w:r>
      <w:r w:rsidR="006C4E15" w:rsidRPr="00B401A4">
        <w:t xml:space="preserve"> requirements</w:t>
      </w:r>
      <w:r w:rsidRPr="00B401A4">
        <w:t>.</w:t>
      </w:r>
    </w:p>
    <w:p w14:paraId="2DD0FC02" w14:textId="77777777" w:rsidR="00537161" w:rsidRPr="00B401A4" w:rsidRDefault="00537161" w:rsidP="000C16A6">
      <w:pPr>
        <w:spacing w:after="0"/>
        <w:rPr>
          <w:rFonts w:eastAsia="Batang"/>
        </w:rPr>
      </w:pPr>
    </w:p>
    <w:p w14:paraId="3354E3A0" w14:textId="0B59B9E2" w:rsidR="00672E69" w:rsidRDefault="004B10AD" w:rsidP="000C16A6">
      <w:pPr>
        <w:spacing w:after="0"/>
      </w:pPr>
      <w:r w:rsidRPr="00B401A4">
        <w:rPr>
          <w:rFonts w:eastAsia="Batang"/>
        </w:rPr>
        <w:t xml:space="preserve">If we think about </w:t>
      </w:r>
      <w:r w:rsidR="00CF2AEC" w:rsidRPr="00B401A4">
        <w:rPr>
          <w:rFonts w:eastAsia="Batang"/>
        </w:rPr>
        <w:t>the</w:t>
      </w:r>
      <w:r w:rsidR="00C55CF2" w:rsidRPr="00B401A4">
        <w:rPr>
          <w:rFonts w:eastAsia="Batang"/>
        </w:rPr>
        <w:t xml:space="preserve"> </w:t>
      </w:r>
      <w:r w:rsidR="00CF2AEC" w:rsidRPr="00B401A4">
        <w:rPr>
          <w:rFonts w:eastAsia="Batang"/>
        </w:rPr>
        <w:t xml:space="preserve">most popular </w:t>
      </w:r>
      <w:r w:rsidRPr="00B401A4">
        <w:rPr>
          <w:rFonts w:eastAsia="Batang"/>
        </w:rPr>
        <w:t xml:space="preserve">use cases, defining new power class UE types is </w:t>
      </w:r>
      <w:r w:rsidR="00D0147F" w:rsidRPr="00B401A4">
        <w:rPr>
          <w:rFonts w:eastAsia="Batang"/>
        </w:rPr>
        <w:t>a</w:t>
      </w:r>
      <w:r w:rsidR="002955F3" w:rsidRPr="00B401A4">
        <w:rPr>
          <w:rFonts w:eastAsia="Batang"/>
        </w:rPr>
        <w:t xml:space="preserve"> logical</w:t>
      </w:r>
      <w:r w:rsidR="00695569" w:rsidRPr="00B401A4">
        <w:rPr>
          <w:rFonts w:eastAsia="Batang"/>
        </w:rPr>
        <w:t xml:space="preserve"> and necessary</w:t>
      </w:r>
      <w:r w:rsidRPr="00B401A4">
        <w:rPr>
          <w:rFonts w:eastAsia="Batang"/>
        </w:rPr>
        <w:t xml:space="preserve"> path forward. </w:t>
      </w:r>
      <w:r w:rsidR="00195EE7" w:rsidRPr="00B401A4">
        <w:rPr>
          <w:rFonts w:eastAsia="Batang"/>
        </w:rPr>
        <w:t>Fixed wireless access, with its large coverage area and relatively low latency</w:t>
      </w:r>
      <w:r w:rsidR="001D5CBE" w:rsidRPr="00B401A4">
        <w:rPr>
          <w:rFonts w:eastAsia="Batang"/>
        </w:rPr>
        <w:t>,</w:t>
      </w:r>
      <w:r w:rsidR="00195EE7" w:rsidRPr="00B401A4">
        <w:rPr>
          <w:rFonts w:eastAsia="Batang"/>
        </w:rPr>
        <w:t xml:space="preserve"> is expected to have significant growth in </w:t>
      </w:r>
      <w:r w:rsidR="002955F3" w:rsidRPr="00B401A4">
        <w:rPr>
          <w:rFonts w:eastAsia="Batang"/>
        </w:rPr>
        <w:t>5G</w:t>
      </w:r>
      <w:r w:rsidR="00195EE7" w:rsidRPr="00B401A4">
        <w:rPr>
          <w:rFonts w:eastAsia="Batang"/>
        </w:rPr>
        <w:t xml:space="preserve"> through </w:t>
      </w:r>
      <w:r w:rsidR="002955F3" w:rsidRPr="00B401A4">
        <w:rPr>
          <w:rFonts w:eastAsia="Batang"/>
        </w:rPr>
        <w:t>mm-wave frequencies</w:t>
      </w:r>
      <w:r w:rsidR="00195EE7" w:rsidRPr="00B401A4">
        <w:rPr>
          <w:rFonts w:eastAsia="Batang"/>
        </w:rPr>
        <w:t xml:space="preserve">. </w:t>
      </w:r>
      <w:r w:rsidR="00537161" w:rsidRPr="00B401A4">
        <w:rPr>
          <w:rFonts w:eastAsia="Batang"/>
        </w:rPr>
        <w:t>La</w:t>
      </w:r>
      <w:r w:rsidR="00195EE7" w:rsidRPr="00B401A4">
        <w:rPr>
          <w:rFonts w:eastAsia="Batang"/>
        </w:rPr>
        <w:t>r</w:t>
      </w:r>
      <w:r w:rsidR="00537161" w:rsidRPr="00B401A4">
        <w:rPr>
          <w:rFonts w:eastAsia="Batang"/>
        </w:rPr>
        <w:t>ger</w:t>
      </w:r>
      <w:r w:rsidR="00195EE7" w:rsidRPr="00B401A4">
        <w:rPr>
          <w:rFonts w:eastAsia="Batang"/>
        </w:rPr>
        <w:t xml:space="preserve"> p</w:t>
      </w:r>
      <w:r w:rsidR="00D0147F" w:rsidRPr="00B401A4">
        <w:rPr>
          <w:rFonts w:eastAsia="Batang"/>
        </w:rPr>
        <w:t>ortable devices (i.e. t</w:t>
      </w:r>
      <w:r w:rsidR="005763B8" w:rsidRPr="00B401A4">
        <w:rPr>
          <w:rFonts w:eastAsia="Batang"/>
        </w:rPr>
        <w:t>ablets</w:t>
      </w:r>
      <w:r w:rsidR="001D5CBE" w:rsidRPr="00B401A4">
        <w:rPr>
          <w:rFonts w:eastAsia="Batang"/>
        </w:rPr>
        <w:t>) are popular form-</w:t>
      </w:r>
      <w:r w:rsidR="00D0147F" w:rsidRPr="00B401A4">
        <w:rPr>
          <w:rFonts w:eastAsia="Batang"/>
        </w:rPr>
        <w:t xml:space="preserve">factors with over 1 billion users worldwide </w:t>
      </w:r>
      <w:r w:rsidR="00D0147F">
        <w:rPr>
          <w:rFonts w:eastAsia="Batang"/>
        </w:rPr>
        <w:t>[</w:t>
      </w:r>
      <w:r w:rsidR="008F5DD8">
        <w:rPr>
          <w:rFonts w:eastAsia="Batang"/>
        </w:rPr>
        <w:t>9</w:t>
      </w:r>
      <w:r w:rsidR="00D0147F">
        <w:rPr>
          <w:rFonts w:eastAsia="Batang"/>
        </w:rPr>
        <w:t>].</w:t>
      </w:r>
      <w:r w:rsidR="005763B8">
        <w:rPr>
          <w:rFonts w:eastAsia="Batang"/>
        </w:rPr>
        <w:t xml:space="preserve"> </w:t>
      </w:r>
      <w:r w:rsidR="00195EE7">
        <w:rPr>
          <w:rFonts w:eastAsia="Batang"/>
        </w:rPr>
        <w:t xml:space="preserve">The FCC has even adopted a general framework for additional UE types across 28 and 39 GHz </w:t>
      </w:r>
      <w:r w:rsidR="00537161">
        <w:rPr>
          <w:rFonts w:eastAsia="Batang"/>
        </w:rPr>
        <w:t xml:space="preserve">based on </w:t>
      </w:r>
      <w:r w:rsidR="006C4E15">
        <w:rPr>
          <w:rFonts w:eastAsia="Batang"/>
        </w:rPr>
        <w:t xml:space="preserve">higher </w:t>
      </w:r>
      <w:r w:rsidR="00D30FC8">
        <w:rPr>
          <w:rFonts w:eastAsia="Batang"/>
        </w:rPr>
        <w:t xml:space="preserve">transmit </w:t>
      </w:r>
      <w:r w:rsidR="006C4E15">
        <w:rPr>
          <w:rFonts w:eastAsia="Batang"/>
        </w:rPr>
        <w:t xml:space="preserve">power </w:t>
      </w:r>
      <w:r w:rsidR="00195EE7">
        <w:rPr>
          <w:rFonts w:eastAsia="Batang"/>
        </w:rPr>
        <w:t>[</w:t>
      </w:r>
      <w:r w:rsidR="008F5DD8">
        <w:rPr>
          <w:rFonts w:eastAsia="Batang"/>
        </w:rPr>
        <w:t>10</w:t>
      </w:r>
      <w:r w:rsidR="00195EE7">
        <w:rPr>
          <w:rFonts w:eastAsia="Batang"/>
        </w:rPr>
        <w:t xml:space="preserve">]. </w:t>
      </w:r>
      <w:r w:rsidR="002955F3">
        <w:rPr>
          <w:rFonts w:eastAsia="Batang"/>
        </w:rPr>
        <w:t>Considering all of this, d</w:t>
      </w:r>
      <w:r w:rsidR="00B02748">
        <w:rPr>
          <w:rFonts w:eastAsia="Batang"/>
        </w:rPr>
        <w:t xml:space="preserve">efining requirements </w:t>
      </w:r>
      <w:r w:rsidR="00C55CF2">
        <w:rPr>
          <w:rFonts w:eastAsia="Batang"/>
        </w:rPr>
        <w:t>for new</w:t>
      </w:r>
      <w:r w:rsidR="00B02748">
        <w:rPr>
          <w:rFonts w:eastAsia="Batang"/>
        </w:rPr>
        <w:t xml:space="preserve"> </w:t>
      </w:r>
      <w:r w:rsidR="00C55CF2">
        <w:rPr>
          <w:rFonts w:eastAsia="Batang"/>
        </w:rPr>
        <w:t>UE types helps lay the ground work needed for the</w:t>
      </w:r>
      <w:r w:rsidR="002955F3">
        <w:rPr>
          <w:rFonts w:eastAsia="Batang"/>
        </w:rPr>
        <w:t>ir</w:t>
      </w:r>
      <w:r w:rsidR="00C55CF2">
        <w:rPr>
          <w:rFonts w:eastAsia="Batang"/>
        </w:rPr>
        <w:t xml:space="preserve"> </w:t>
      </w:r>
      <w:r w:rsidR="00574A9C">
        <w:rPr>
          <w:rFonts w:eastAsia="Batang"/>
        </w:rPr>
        <w:t>projec</w:t>
      </w:r>
      <w:r w:rsidR="00C55CF2">
        <w:rPr>
          <w:rFonts w:eastAsia="Batang"/>
        </w:rPr>
        <w:t>ted growth.</w:t>
      </w:r>
      <w:r w:rsidR="00672E69">
        <w:rPr>
          <w:rFonts w:eastAsia="Batang"/>
        </w:rPr>
        <w:t xml:space="preserve"> </w:t>
      </w:r>
      <w:r w:rsidR="001010EE" w:rsidRPr="001010EE">
        <w:t xml:space="preserve">This </w:t>
      </w:r>
      <w:r w:rsidR="00695569">
        <w:t xml:space="preserve">also </w:t>
      </w:r>
      <w:r w:rsidR="001010EE" w:rsidRPr="001010EE">
        <w:t xml:space="preserve">brings up an important discussion point, what is the best way to </w:t>
      </w:r>
      <w:r w:rsidR="001010EE">
        <w:t xml:space="preserve">separate and </w:t>
      </w:r>
      <w:r w:rsidR="001010EE" w:rsidRPr="001010EE">
        <w:t xml:space="preserve">define </w:t>
      </w:r>
      <w:r w:rsidR="004A53FB">
        <w:t xml:space="preserve">UE types in </w:t>
      </w:r>
      <w:r w:rsidR="001010EE" w:rsidRPr="001010EE">
        <w:t xml:space="preserve">power class. </w:t>
      </w:r>
      <w:r w:rsidR="008930BC">
        <w:t>Some r</w:t>
      </w:r>
      <w:r w:rsidR="008930BC">
        <w:t>elevant differences</w:t>
      </w:r>
      <w:r w:rsidR="00A94653">
        <w:t xml:space="preserve"> between UE types</w:t>
      </w:r>
      <w:r w:rsidR="008930BC">
        <w:t xml:space="preserve"> to consider</w:t>
      </w:r>
      <w:r w:rsidR="00261E3C">
        <w:t>,</w:t>
      </w:r>
      <w:r w:rsidR="008930BC">
        <w:t xml:space="preserve"> include form-factor size, use case, </w:t>
      </w:r>
      <w:r w:rsidR="008930BC">
        <w:t xml:space="preserve">and </w:t>
      </w:r>
      <w:r w:rsidR="008930BC">
        <w:t>en</w:t>
      </w:r>
      <w:r w:rsidR="00A94653">
        <w:t>vironment while device is</w:t>
      </w:r>
      <w:r w:rsidR="008930BC">
        <w:t xml:space="preserve"> operati</w:t>
      </w:r>
      <w:r w:rsidR="00A94653">
        <w:t>ng</w:t>
      </w:r>
      <w:r w:rsidR="008930BC">
        <w:t>.</w:t>
      </w:r>
    </w:p>
    <w:p w14:paraId="427B55EC" w14:textId="77777777" w:rsidR="00672E69" w:rsidRDefault="00672E69" w:rsidP="000C16A6">
      <w:pPr>
        <w:spacing w:after="0"/>
      </w:pPr>
    </w:p>
    <w:p w14:paraId="7F7411C0" w14:textId="4D6300B6" w:rsidR="00672E69" w:rsidRDefault="00672E69" w:rsidP="00672E69">
      <w:pPr>
        <w:spacing w:after="0"/>
        <w:rPr>
          <w:highlight w:val="yellow"/>
        </w:rPr>
      </w:pPr>
      <w:r w:rsidRPr="000C16A6">
        <w:rPr>
          <w:b/>
        </w:rPr>
        <w:t xml:space="preserve">Observation </w:t>
      </w:r>
      <w:r>
        <w:rPr>
          <w:b/>
        </w:rPr>
        <w:t>2</w:t>
      </w:r>
      <w:r w:rsidRPr="000C16A6">
        <w:rPr>
          <w:b/>
        </w:rPr>
        <w:t>:</w:t>
      </w:r>
      <w:r w:rsidRPr="000C16A6">
        <w:t xml:space="preserve"> </w:t>
      </w:r>
      <w:r>
        <w:t xml:space="preserve">The differences found in UE types that will support FR2 will be reflected in their achievable minimum peak EIRP values. A RAN4 discussion is needed to find the best way to divide power class based on these differences. </w:t>
      </w:r>
    </w:p>
    <w:p w14:paraId="47115844" w14:textId="77777777" w:rsidR="00672E69" w:rsidRDefault="00672E69" w:rsidP="000C16A6">
      <w:pPr>
        <w:spacing w:after="0"/>
      </w:pPr>
    </w:p>
    <w:p w14:paraId="43AE4081" w14:textId="32B13407" w:rsidR="00C55CF2" w:rsidRPr="00672E69" w:rsidRDefault="001010EE" w:rsidP="000C16A6">
      <w:pPr>
        <w:spacing w:after="0"/>
        <w:rPr>
          <w:rFonts w:eastAsia="Batang"/>
        </w:rPr>
      </w:pPr>
      <w:r w:rsidRPr="001010EE">
        <w:t>Based on current and anticipated use cases, it makes sense to have two types: portable and fixed</w:t>
      </w:r>
      <w:r>
        <w:t xml:space="preserve"> wireless access (FWA)</w:t>
      </w:r>
      <w:r w:rsidRPr="001010EE">
        <w:t xml:space="preserve">. The portable type </w:t>
      </w:r>
      <w:r>
        <w:t>can</w:t>
      </w:r>
      <w:r w:rsidRPr="001010EE">
        <w:t xml:space="preserve"> the</w:t>
      </w:r>
      <w:r>
        <w:t>n</w:t>
      </w:r>
      <w:r w:rsidRPr="001010EE">
        <w:t xml:space="preserve"> </w:t>
      </w:r>
      <w:r>
        <w:t xml:space="preserve">be </w:t>
      </w:r>
      <w:r w:rsidRPr="001010EE">
        <w:t xml:space="preserve">subcategorized depending on size or form-factor as handheld or </w:t>
      </w:r>
      <w:r w:rsidR="00DE77B1">
        <w:t>larger (</w:t>
      </w:r>
      <w:r w:rsidRPr="001010EE">
        <w:t>tablets</w:t>
      </w:r>
      <w:r w:rsidR="00DE77B1">
        <w:t>)</w:t>
      </w:r>
      <w:r w:rsidRPr="001010EE">
        <w:t xml:space="preserve">. </w:t>
      </w:r>
      <w:r>
        <w:t xml:space="preserve">For the fixed wireless access, we can make a distinction </w:t>
      </w:r>
      <w:r w:rsidR="004A53FB">
        <w:t>based on</w:t>
      </w:r>
      <w:r w:rsidR="00057444">
        <w:t xml:space="preserve"> the</w:t>
      </w:r>
      <w:r>
        <w:t xml:space="preserve"> </w:t>
      </w:r>
      <w:r w:rsidR="00057444">
        <w:t>platform they are mounted on</w:t>
      </w:r>
      <w:r>
        <w:t xml:space="preserve">. </w:t>
      </w:r>
      <w:r w:rsidR="00C55CF2">
        <w:rPr>
          <w:rFonts w:eastAsia="Batang"/>
        </w:rPr>
        <w:t xml:space="preserve">The FCC defines higher power devices as </w:t>
      </w:r>
      <w:r w:rsidR="00C55CF2" w:rsidRPr="00C55CF2">
        <w:rPr>
          <w:rFonts w:eastAsia="Batang"/>
          <w:i/>
        </w:rPr>
        <w:t>transportable</w:t>
      </w:r>
      <w:r w:rsidR="00057444">
        <w:rPr>
          <w:rFonts w:eastAsia="Batang"/>
          <w:i/>
        </w:rPr>
        <w:t xml:space="preserve"> stations</w:t>
      </w:r>
      <w:r w:rsidR="00C55CF2">
        <w:rPr>
          <w:rFonts w:eastAsia="Batang"/>
        </w:rPr>
        <w:t xml:space="preserve"> and focuses the definition of the</w:t>
      </w:r>
      <w:r>
        <w:rPr>
          <w:rFonts w:eastAsia="Batang"/>
        </w:rPr>
        <w:t>se</w:t>
      </w:r>
      <w:r w:rsidR="00C55CF2">
        <w:rPr>
          <w:rFonts w:eastAsia="Batang"/>
        </w:rPr>
        <w:t xml:space="preserve"> devices as </w:t>
      </w:r>
      <w:r w:rsidR="00C55CF2" w:rsidRPr="001010EE">
        <w:rPr>
          <w:rFonts w:eastAsia="Batang"/>
          <w:i/>
        </w:rPr>
        <w:t>stationary</w:t>
      </w:r>
      <w:r w:rsidR="00695569">
        <w:rPr>
          <w:rFonts w:eastAsia="Batang"/>
        </w:rPr>
        <w:t xml:space="preserve"> while operating [</w:t>
      </w:r>
      <w:r w:rsidR="008F5DD8">
        <w:rPr>
          <w:rFonts w:eastAsia="Batang"/>
        </w:rPr>
        <w:t>10</w:t>
      </w:r>
      <w:r w:rsidR="00C55CF2">
        <w:rPr>
          <w:rFonts w:eastAsia="Batang"/>
        </w:rPr>
        <w:t xml:space="preserve">]. </w:t>
      </w:r>
      <w:r>
        <w:rPr>
          <w:rFonts w:eastAsia="Batang"/>
        </w:rPr>
        <w:t>While t</w:t>
      </w:r>
      <w:r w:rsidR="00752601">
        <w:rPr>
          <w:rFonts w:eastAsia="Batang"/>
        </w:rPr>
        <w:t xml:space="preserve">his excludes a potential use case of devices </w:t>
      </w:r>
      <w:r w:rsidR="004A53FB">
        <w:rPr>
          <w:rFonts w:eastAsia="Batang"/>
        </w:rPr>
        <w:t>fixed</w:t>
      </w:r>
      <w:r w:rsidR="00057444">
        <w:rPr>
          <w:rFonts w:eastAsia="Batang"/>
        </w:rPr>
        <w:t xml:space="preserve"> inside</w:t>
      </w:r>
      <w:r w:rsidR="00752601">
        <w:rPr>
          <w:rFonts w:eastAsia="Batang"/>
        </w:rPr>
        <w:t xml:space="preserve"> vehicles</w:t>
      </w:r>
      <w:r>
        <w:rPr>
          <w:rFonts w:eastAsia="Batang"/>
        </w:rPr>
        <w:t xml:space="preserve">, we can </w:t>
      </w:r>
      <w:r w:rsidR="00DE77B1">
        <w:rPr>
          <w:rFonts w:eastAsia="Batang"/>
        </w:rPr>
        <w:t xml:space="preserve">expand the </w:t>
      </w:r>
      <w:r>
        <w:rPr>
          <w:rFonts w:eastAsia="Batang"/>
        </w:rPr>
        <w:t xml:space="preserve">FWA term and further divide as fixed-stationary </w:t>
      </w:r>
      <w:r w:rsidR="005E099A">
        <w:rPr>
          <w:rFonts w:eastAsia="Batang"/>
        </w:rPr>
        <w:t>(includ</w:t>
      </w:r>
      <w:r w:rsidR="00057444">
        <w:rPr>
          <w:rFonts w:eastAsia="Batang"/>
        </w:rPr>
        <w:t>ing</w:t>
      </w:r>
      <w:r w:rsidR="005E099A">
        <w:rPr>
          <w:rFonts w:eastAsia="Batang"/>
        </w:rPr>
        <w:t xml:space="preserve"> customer premise</w:t>
      </w:r>
      <w:r w:rsidR="00057444">
        <w:rPr>
          <w:rFonts w:eastAsia="Batang"/>
        </w:rPr>
        <w:t>s</w:t>
      </w:r>
      <w:r w:rsidR="005E099A">
        <w:rPr>
          <w:rFonts w:eastAsia="Batang"/>
        </w:rPr>
        <w:t xml:space="preserve"> equipment) </w:t>
      </w:r>
      <w:r w:rsidR="00057444">
        <w:rPr>
          <w:rFonts w:eastAsia="Batang"/>
        </w:rPr>
        <w:t>and fixed-on-moving</w:t>
      </w:r>
      <w:r>
        <w:rPr>
          <w:rFonts w:eastAsia="Batang"/>
        </w:rPr>
        <w:t xml:space="preserve"> platform.</w:t>
      </w:r>
    </w:p>
    <w:p w14:paraId="1F406B42" w14:textId="77777777" w:rsidR="005E099A" w:rsidRDefault="005E099A" w:rsidP="000C16A6">
      <w:pPr>
        <w:spacing w:after="0"/>
        <w:rPr>
          <w:highlight w:val="yellow"/>
        </w:rPr>
      </w:pPr>
    </w:p>
    <w:p w14:paraId="34D2ED99" w14:textId="6B6357EB" w:rsidR="007649C8" w:rsidRDefault="007649C8" w:rsidP="000C16A6">
      <w:pPr>
        <w:spacing w:after="0"/>
      </w:pPr>
      <w:r>
        <w:rPr>
          <w:b/>
        </w:rPr>
        <w:t>Proposal</w:t>
      </w:r>
      <w:r w:rsidRPr="000C16A6">
        <w:rPr>
          <w:b/>
        </w:rPr>
        <w:t xml:space="preserve"> </w:t>
      </w:r>
      <w:r>
        <w:rPr>
          <w:b/>
        </w:rPr>
        <w:t>1</w:t>
      </w:r>
      <w:r w:rsidRPr="000C16A6">
        <w:rPr>
          <w:b/>
        </w:rPr>
        <w:t>:</w:t>
      </w:r>
      <w:r w:rsidRPr="000C16A6">
        <w:t xml:space="preserve"> </w:t>
      </w:r>
      <w:r w:rsidR="00634D47">
        <w:t>Discuss h</w:t>
      </w:r>
      <w:r>
        <w:t>av</w:t>
      </w:r>
      <w:r w:rsidR="00634D47">
        <w:t>ing</w:t>
      </w:r>
      <w:r>
        <w:t xml:space="preserve"> two main UE types for FR2</w:t>
      </w:r>
      <w:r>
        <w:t xml:space="preserve"> power class</w:t>
      </w:r>
      <w:r>
        <w:t>:</w:t>
      </w:r>
      <w:r>
        <w:t xml:space="preserve"> portable and fixed. Consider further defining portable devices based on their form-factor</w:t>
      </w:r>
      <w:r>
        <w:t xml:space="preserve"> as handheld and larger.</w:t>
      </w:r>
      <w:r>
        <w:t xml:space="preserve"> </w:t>
      </w:r>
      <w:r>
        <w:t>Categorize</w:t>
      </w:r>
      <w:r>
        <w:t xml:space="preserve"> fixed devices depending on whether they are fixed on a </w:t>
      </w:r>
      <w:r w:rsidRPr="00A94653">
        <w:rPr>
          <w:i/>
        </w:rPr>
        <w:t>stationary</w:t>
      </w:r>
      <w:r>
        <w:t xml:space="preserve"> platform or a </w:t>
      </w:r>
      <w:r w:rsidRPr="00A94653">
        <w:rPr>
          <w:i/>
        </w:rPr>
        <w:t>moving</w:t>
      </w:r>
      <w:r>
        <w:t xml:space="preserve"> platform.</w:t>
      </w:r>
    </w:p>
    <w:p w14:paraId="1AF1E5D2" w14:textId="77777777" w:rsidR="007649C8" w:rsidRDefault="007649C8" w:rsidP="000C16A6">
      <w:pPr>
        <w:spacing w:after="0"/>
      </w:pPr>
    </w:p>
    <w:p w14:paraId="013315F9" w14:textId="1F2D8EDF" w:rsidR="001010EE" w:rsidRPr="005E099A" w:rsidRDefault="00F6458C" w:rsidP="000C16A6">
      <w:pPr>
        <w:spacing w:after="0"/>
      </w:pPr>
      <w:r>
        <w:t>Given the amount of time remaining for Rel-15 and the fact that fixed-on-</w:t>
      </w:r>
      <w:r w:rsidRPr="00F6458C">
        <w:rPr>
          <w:i/>
        </w:rPr>
        <w:t>moving</w:t>
      </w:r>
      <w:r>
        <w:t xml:space="preserve"> platform devices will likely require further studies, we will focus the rest of the </w:t>
      </w:r>
      <w:r w:rsidR="007649C8">
        <w:t xml:space="preserve">paper on </w:t>
      </w:r>
      <w:r>
        <w:t xml:space="preserve">FWA devices on a </w:t>
      </w:r>
      <w:r w:rsidRPr="00F6458C">
        <w:rPr>
          <w:i/>
        </w:rPr>
        <w:t>stationary</w:t>
      </w:r>
      <w:r>
        <w:t xml:space="preserve"> platform.</w:t>
      </w:r>
      <w:r w:rsidR="00786C79">
        <w:t xml:space="preserve"> </w:t>
      </w:r>
      <w:r>
        <w:t xml:space="preserve">The example values used to derive peak EIRP in the upcoming section will be for this type. </w:t>
      </w:r>
    </w:p>
    <w:p w14:paraId="3F57D076" w14:textId="77777777" w:rsidR="005E099A" w:rsidRDefault="005E099A" w:rsidP="000C16A6">
      <w:pPr>
        <w:spacing w:after="0"/>
        <w:rPr>
          <w:highlight w:val="yellow"/>
        </w:rPr>
      </w:pPr>
    </w:p>
    <w:p w14:paraId="437AD6B9" w14:textId="70FD772D" w:rsidR="008A4F0B" w:rsidRDefault="008A4F0B" w:rsidP="008A4F0B">
      <w:pPr>
        <w:pStyle w:val="Heading2"/>
        <w:rPr>
          <w:rFonts w:eastAsia="Batang"/>
        </w:rPr>
      </w:pPr>
      <w:r>
        <w:rPr>
          <w:rFonts w:eastAsia="Batang"/>
        </w:rPr>
        <w:t>2.3</w:t>
      </w:r>
      <w:r>
        <w:rPr>
          <w:rFonts w:eastAsia="Batang"/>
        </w:rPr>
        <w:tab/>
      </w:r>
      <w:r w:rsidR="00BE29E6">
        <w:rPr>
          <w:rFonts w:eastAsia="Batang"/>
        </w:rPr>
        <w:t>Power class requirements for FWA</w:t>
      </w:r>
    </w:p>
    <w:p w14:paraId="13950970" w14:textId="172785E2" w:rsidR="008A4F0B" w:rsidRDefault="007649C8" w:rsidP="008A4F0B">
      <w:pPr>
        <w:spacing w:after="0"/>
        <w:rPr>
          <w:rFonts w:eastAsia="Batang"/>
        </w:rPr>
      </w:pPr>
      <w:r>
        <w:rPr>
          <w:rFonts w:eastAsia="Batang"/>
        </w:rPr>
        <w:t>I</w:t>
      </w:r>
      <w:r w:rsidR="008A4F0B">
        <w:rPr>
          <w:rFonts w:eastAsia="Batang"/>
        </w:rPr>
        <w:t xml:space="preserve">t is </w:t>
      </w:r>
      <w:r>
        <w:rPr>
          <w:rFonts w:eastAsia="Batang"/>
        </w:rPr>
        <w:t>important</w:t>
      </w:r>
      <w:r w:rsidR="008A4F0B">
        <w:rPr>
          <w:rFonts w:eastAsia="Batang"/>
        </w:rPr>
        <w:t xml:space="preserve"> to assess the </w:t>
      </w:r>
      <w:r>
        <w:rPr>
          <w:rFonts w:eastAsia="Batang"/>
        </w:rPr>
        <w:t>potential impact including a</w:t>
      </w:r>
      <w:r w:rsidR="008A4F0B">
        <w:rPr>
          <w:rFonts w:eastAsia="Batang"/>
        </w:rPr>
        <w:t xml:space="preserve"> new UE type </w:t>
      </w:r>
      <w:r>
        <w:rPr>
          <w:rFonts w:eastAsia="Batang"/>
        </w:rPr>
        <w:t>will have on our requirements</w:t>
      </w:r>
      <w:r w:rsidR="008A4F0B">
        <w:rPr>
          <w:rFonts w:eastAsia="Batang"/>
        </w:rPr>
        <w:t xml:space="preserve">. </w:t>
      </w:r>
      <w:r>
        <w:rPr>
          <w:rFonts w:eastAsia="Batang"/>
        </w:rPr>
        <w:t>In last month’s RAN4 #86 meeting, a table detailing relevant architecture parameters was approved</w:t>
      </w:r>
      <w:r w:rsidR="00057444">
        <w:rPr>
          <w:rFonts w:eastAsia="Batang"/>
        </w:rPr>
        <w:t xml:space="preserve"> </w:t>
      </w:r>
      <w:r>
        <w:rPr>
          <w:rFonts w:eastAsia="Batang"/>
        </w:rPr>
        <w:t>[7]. Th</w:t>
      </w:r>
      <w:r w:rsidR="00891B9F">
        <w:rPr>
          <w:rFonts w:eastAsia="Batang"/>
        </w:rPr>
        <w:t>e</w:t>
      </w:r>
      <w:r>
        <w:rPr>
          <w:rFonts w:eastAsia="Batang"/>
        </w:rPr>
        <w:t xml:space="preserve"> content </w:t>
      </w:r>
      <w:r w:rsidR="00891B9F">
        <w:rPr>
          <w:rFonts w:eastAsia="Batang"/>
        </w:rPr>
        <w:t>of th</w:t>
      </w:r>
      <w:r w:rsidR="00F6458C">
        <w:rPr>
          <w:rFonts w:eastAsia="Batang"/>
        </w:rPr>
        <w:t>at</w:t>
      </w:r>
      <w:r w:rsidR="00891B9F">
        <w:rPr>
          <w:rFonts w:eastAsia="Batang"/>
        </w:rPr>
        <w:t xml:space="preserve"> table </w:t>
      </w:r>
      <w:r>
        <w:rPr>
          <w:rFonts w:eastAsia="Batang"/>
        </w:rPr>
        <w:t xml:space="preserve">is captured in </w:t>
      </w:r>
      <w:r w:rsidR="008A4F0B">
        <w:rPr>
          <w:rFonts w:eastAsia="Batang"/>
        </w:rPr>
        <w:t>Table 1</w:t>
      </w:r>
      <w:r>
        <w:rPr>
          <w:rFonts w:eastAsia="Batang"/>
        </w:rPr>
        <w:t xml:space="preserve"> in this paper</w:t>
      </w:r>
      <w:r w:rsidR="008A4F0B">
        <w:rPr>
          <w:rFonts w:eastAsia="Batang"/>
        </w:rPr>
        <w:t xml:space="preserve">. We will use the data found </w:t>
      </w:r>
      <w:r w:rsidR="00F6458C">
        <w:rPr>
          <w:rFonts w:eastAsia="Batang"/>
        </w:rPr>
        <w:t>i</w:t>
      </w:r>
      <w:r w:rsidR="008A4F0B">
        <w:rPr>
          <w:rFonts w:eastAsia="Batang"/>
        </w:rPr>
        <w:t xml:space="preserve">n </w:t>
      </w:r>
      <w:r w:rsidR="00F6458C">
        <w:rPr>
          <w:rFonts w:eastAsia="Batang"/>
        </w:rPr>
        <w:t>T</w:t>
      </w:r>
      <w:r w:rsidR="008A4F0B">
        <w:rPr>
          <w:rFonts w:eastAsia="Batang"/>
        </w:rPr>
        <w:t xml:space="preserve">able </w:t>
      </w:r>
      <w:r w:rsidR="00F6458C">
        <w:rPr>
          <w:rFonts w:eastAsia="Batang"/>
        </w:rPr>
        <w:t xml:space="preserve">1 </w:t>
      </w:r>
      <w:r w:rsidR="008A4F0B">
        <w:rPr>
          <w:rFonts w:eastAsia="Batang"/>
        </w:rPr>
        <w:t xml:space="preserve">to provide </w:t>
      </w:r>
      <w:r>
        <w:rPr>
          <w:rFonts w:eastAsia="Batang"/>
        </w:rPr>
        <w:t xml:space="preserve">a </w:t>
      </w:r>
      <w:r w:rsidR="008A4F0B">
        <w:rPr>
          <w:rFonts w:eastAsia="Batang"/>
        </w:rPr>
        <w:t xml:space="preserve">preliminary </w:t>
      </w:r>
      <w:r>
        <w:rPr>
          <w:rFonts w:eastAsia="Batang"/>
        </w:rPr>
        <w:t xml:space="preserve">minimum </w:t>
      </w:r>
      <w:r w:rsidR="008A4F0B">
        <w:rPr>
          <w:rFonts w:eastAsia="Batang"/>
        </w:rPr>
        <w:t xml:space="preserve">peak EIRP </w:t>
      </w:r>
      <w:r w:rsidR="008A4F0B" w:rsidRPr="006A107A">
        <w:rPr>
          <w:rFonts w:eastAsia="Batang"/>
        </w:rPr>
        <w:t xml:space="preserve">for </w:t>
      </w:r>
      <w:r w:rsidRPr="006A107A">
        <w:rPr>
          <w:rFonts w:eastAsia="Batang"/>
        </w:rPr>
        <w:t xml:space="preserve">FWA devices </w:t>
      </w:r>
      <w:r w:rsidR="006A107A" w:rsidRPr="006A107A">
        <w:rPr>
          <w:rFonts w:eastAsia="Batang"/>
        </w:rPr>
        <w:t>o</w:t>
      </w:r>
      <w:r w:rsidRPr="006A107A">
        <w:rPr>
          <w:rFonts w:eastAsia="Batang"/>
        </w:rPr>
        <w:t xml:space="preserve">n a </w:t>
      </w:r>
      <w:r w:rsidR="006A107A" w:rsidRPr="006A107A">
        <w:rPr>
          <w:rFonts w:eastAsia="Batang"/>
          <w:i/>
        </w:rPr>
        <w:t>stationary</w:t>
      </w:r>
      <w:r w:rsidRPr="006A107A">
        <w:rPr>
          <w:rFonts w:eastAsia="Batang"/>
        </w:rPr>
        <w:t xml:space="preserve"> platform</w:t>
      </w:r>
      <w:r w:rsidR="008A4F0B" w:rsidRPr="006A107A">
        <w:rPr>
          <w:rFonts w:eastAsia="Batang"/>
        </w:rPr>
        <w:t>.</w:t>
      </w:r>
      <w:r w:rsidR="00C87E80">
        <w:rPr>
          <w:rFonts w:eastAsia="Batang"/>
        </w:rPr>
        <w:t xml:space="preserve"> </w:t>
      </w:r>
    </w:p>
    <w:p w14:paraId="72629EED" w14:textId="77777777" w:rsidR="00F6458C" w:rsidRDefault="00F6458C" w:rsidP="008A4F0B">
      <w:pPr>
        <w:spacing w:after="0"/>
        <w:rPr>
          <w:rFonts w:eastAsia="Batang"/>
        </w:rPr>
      </w:pPr>
    </w:p>
    <w:p w14:paraId="7FD408B8" w14:textId="01317A23" w:rsidR="00D94EA9" w:rsidRPr="00D94EA9" w:rsidRDefault="00D94EA9" w:rsidP="00D94EA9">
      <w:pPr>
        <w:spacing w:after="120"/>
        <w:jc w:val="center"/>
        <w:rPr>
          <w:rFonts w:eastAsia="Batang"/>
        </w:rPr>
      </w:pPr>
      <w:r w:rsidRPr="00D94EA9">
        <w:rPr>
          <w:b/>
        </w:rPr>
        <w:lastRenderedPageBreak/>
        <w:t>Table 1.</w:t>
      </w:r>
      <w:r w:rsidRPr="00C87E80">
        <w:t xml:space="preserve"> </w:t>
      </w:r>
      <w:r w:rsidR="00C87E80" w:rsidRPr="00C87E80">
        <w:t>FWA parameters for</w:t>
      </w:r>
      <w:r w:rsidR="00C87E80">
        <w:rPr>
          <w:b/>
        </w:rPr>
        <w:t xml:space="preserve"> </w:t>
      </w:r>
      <w:r w:rsidR="00C87E80">
        <w:t>m</w:t>
      </w:r>
      <w:r w:rsidR="00D0147F">
        <w:t>inimum p</w:t>
      </w:r>
      <w:r w:rsidRPr="00D94EA9">
        <w:t xml:space="preserve">eak EIRP </w:t>
      </w:r>
      <w:r w:rsidR="00C87E80">
        <w:t>evaluation</w:t>
      </w:r>
    </w:p>
    <w:tbl>
      <w:tblPr>
        <w:tblStyle w:val="TableGrid"/>
        <w:tblW w:w="9936" w:type="dxa"/>
        <w:jc w:val="center"/>
        <w:tblLook w:val="04A0" w:firstRow="1" w:lastRow="0" w:firstColumn="1" w:lastColumn="0" w:noHBand="0" w:noVBand="1"/>
      </w:tblPr>
      <w:tblGrid>
        <w:gridCol w:w="2880"/>
        <w:gridCol w:w="720"/>
        <w:gridCol w:w="1728"/>
        <w:gridCol w:w="1728"/>
        <w:gridCol w:w="2880"/>
      </w:tblGrid>
      <w:tr w:rsidR="000D6C9F" w:rsidRPr="00D94EA9" w14:paraId="0F994241" w14:textId="5FD7F0A8" w:rsidTr="000D6C9F">
        <w:trPr>
          <w:trHeight w:val="576"/>
          <w:jc w:val="center"/>
        </w:trPr>
        <w:tc>
          <w:tcPr>
            <w:tcW w:w="2880" w:type="dxa"/>
            <w:tcBorders>
              <w:top w:val="thinThickSmallGap" w:sz="18" w:space="0" w:color="auto"/>
              <w:left w:val="nil"/>
              <w:bottom w:val="single" w:sz="12" w:space="0" w:color="auto"/>
            </w:tcBorders>
            <w:vAlign w:val="center"/>
          </w:tcPr>
          <w:p w14:paraId="045F83E4" w14:textId="77777777" w:rsidR="000D6C9F" w:rsidRPr="00D94EA9" w:rsidRDefault="000D6C9F" w:rsidP="00D94EA9">
            <w:pPr>
              <w:spacing w:after="0"/>
              <w:rPr>
                <w:b/>
              </w:rPr>
            </w:pPr>
            <w:r w:rsidRPr="00D94EA9">
              <w:rPr>
                <w:b/>
              </w:rPr>
              <w:t>Parameter</w:t>
            </w:r>
          </w:p>
        </w:tc>
        <w:tc>
          <w:tcPr>
            <w:tcW w:w="720" w:type="dxa"/>
            <w:tcBorders>
              <w:top w:val="thinThickSmallGap" w:sz="18" w:space="0" w:color="auto"/>
              <w:bottom w:val="single" w:sz="12" w:space="0" w:color="auto"/>
            </w:tcBorders>
            <w:vAlign w:val="center"/>
          </w:tcPr>
          <w:p w14:paraId="5F537DD8" w14:textId="77777777" w:rsidR="000D6C9F" w:rsidRPr="00D94EA9" w:rsidRDefault="000D6C9F" w:rsidP="00D94EA9">
            <w:pPr>
              <w:spacing w:after="0"/>
              <w:rPr>
                <w:b/>
              </w:rPr>
            </w:pPr>
            <w:r w:rsidRPr="00D94EA9">
              <w:rPr>
                <w:b/>
              </w:rPr>
              <w:t>Unit</w:t>
            </w:r>
          </w:p>
        </w:tc>
        <w:tc>
          <w:tcPr>
            <w:tcW w:w="1728" w:type="dxa"/>
            <w:tcBorders>
              <w:top w:val="thinThickSmallGap" w:sz="18" w:space="0" w:color="auto"/>
              <w:bottom w:val="single" w:sz="12" w:space="0" w:color="auto"/>
            </w:tcBorders>
            <w:vAlign w:val="center"/>
          </w:tcPr>
          <w:p w14:paraId="210FB444" w14:textId="77777777" w:rsidR="000D6C9F" w:rsidRPr="00D94EA9" w:rsidRDefault="000D6C9F" w:rsidP="00D94EA9">
            <w:pPr>
              <w:spacing w:after="0"/>
              <w:jc w:val="center"/>
              <w:rPr>
                <w:b/>
              </w:rPr>
            </w:pPr>
            <w:r w:rsidRPr="00D94EA9">
              <w:rPr>
                <w:b/>
              </w:rPr>
              <w:t>Freq. range</w:t>
            </w:r>
          </w:p>
          <w:p w14:paraId="728364A6" w14:textId="77777777" w:rsidR="000D6C9F" w:rsidRPr="00D94EA9" w:rsidRDefault="000D6C9F" w:rsidP="00D94EA9">
            <w:pPr>
              <w:spacing w:after="0"/>
              <w:jc w:val="center"/>
              <w:rPr>
                <w:b/>
              </w:rPr>
            </w:pPr>
            <w:r w:rsidRPr="00D94EA9">
              <w:rPr>
                <w:b/>
              </w:rPr>
              <w:t>24.25-29.5 GHz</w:t>
            </w:r>
          </w:p>
        </w:tc>
        <w:tc>
          <w:tcPr>
            <w:tcW w:w="1728" w:type="dxa"/>
            <w:tcBorders>
              <w:top w:val="thinThickSmallGap" w:sz="18" w:space="0" w:color="auto"/>
              <w:bottom w:val="single" w:sz="12" w:space="0" w:color="auto"/>
              <w:right w:val="nil"/>
            </w:tcBorders>
            <w:vAlign w:val="center"/>
          </w:tcPr>
          <w:p w14:paraId="35B92D3D" w14:textId="77777777" w:rsidR="000D6C9F" w:rsidRPr="00D94EA9" w:rsidRDefault="000D6C9F" w:rsidP="00D94EA9">
            <w:pPr>
              <w:spacing w:after="0"/>
              <w:jc w:val="center"/>
              <w:rPr>
                <w:b/>
              </w:rPr>
            </w:pPr>
            <w:r w:rsidRPr="00D94EA9">
              <w:rPr>
                <w:b/>
              </w:rPr>
              <w:t>Freq. range</w:t>
            </w:r>
          </w:p>
          <w:p w14:paraId="1C095D98" w14:textId="77777777" w:rsidR="000D6C9F" w:rsidRPr="00D94EA9" w:rsidRDefault="000D6C9F" w:rsidP="00D94EA9">
            <w:pPr>
              <w:spacing w:after="0"/>
              <w:jc w:val="center"/>
              <w:rPr>
                <w:b/>
              </w:rPr>
            </w:pPr>
            <w:r w:rsidRPr="00D94EA9">
              <w:rPr>
                <w:b/>
              </w:rPr>
              <w:t>37.0-40.0 GHz</w:t>
            </w:r>
          </w:p>
        </w:tc>
        <w:tc>
          <w:tcPr>
            <w:tcW w:w="2880" w:type="dxa"/>
            <w:tcBorders>
              <w:top w:val="thinThickSmallGap" w:sz="18" w:space="0" w:color="auto"/>
              <w:bottom w:val="single" w:sz="12" w:space="0" w:color="auto"/>
              <w:right w:val="nil"/>
            </w:tcBorders>
            <w:vAlign w:val="center"/>
          </w:tcPr>
          <w:p w14:paraId="7A3845DA" w14:textId="1A225C47" w:rsidR="000D6C9F" w:rsidRPr="00D94EA9" w:rsidRDefault="000D6C9F" w:rsidP="000D6C9F">
            <w:pPr>
              <w:spacing w:after="0"/>
              <w:rPr>
                <w:b/>
              </w:rPr>
            </w:pPr>
            <w:r>
              <w:rPr>
                <w:b/>
              </w:rPr>
              <w:t>Comments</w:t>
            </w:r>
          </w:p>
        </w:tc>
      </w:tr>
      <w:tr w:rsidR="000D6C9F" w:rsidRPr="00D94EA9" w14:paraId="6CCE4D6A" w14:textId="5BDCC0D1" w:rsidTr="000D6C9F">
        <w:trPr>
          <w:trHeight w:val="360"/>
          <w:jc w:val="center"/>
        </w:trPr>
        <w:tc>
          <w:tcPr>
            <w:tcW w:w="2880" w:type="dxa"/>
            <w:tcBorders>
              <w:top w:val="single" w:sz="12" w:space="0" w:color="auto"/>
              <w:left w:val="nil"/>
            </w:tcBorders>
            <w:vAlign w:val="center"/>
          </w:tcPr>
          <w:p w14:paraId="058F8073" w14:textId="77777777" w:rsidR="000D6C9F" w:rsidRPr="00D94EA9" w:rsidRDefault="000D6C9F" w:rsidP="00D94EA9">
            <w:pPr>
              <w:spacing w:after="0"/>
            </w:pPr>
            <w:r w:rsidRPr="00D94EA9">
              <w:t>Pout per element</w:t>
            </w:r>
          </w:p>
        </w:tc>
        <w:tc>
          <w:tcPr>
            <w:tcW w:w="720" w:type="dxa"/>
            <w:tcBorders>
              <w:top w:val="single" w:sz="12" w:space="0" w:color="auto"/>
            </w:tcBorders>
            <w:vAlign w:val="center"/>
          </w:tcPr>
          <w:p w14:paraId="6D3F5E2B" w14:textId="77777777" w:rsidR="000D6C9F" w:rsidRPr="00D94EA9" w:rsidRDefault="000D6C9F" w:rsidP="00D94EA9">
            <w:pPr>
              <w:spacing w:after="0"/>
            </w:pPr>
            <w:r w:rsidRPr="00D94EA9">
              <w:t>dBm</w:t>
            </w:r>
          </w:p>
        </w:tc>
        <w:tc>
          <w:tcPr>
            <w:tcW w:w="1728" w:type="dxa"/>
            <w:tcBorders>
              <w:top w:val="single" w:sz="12" w:space="0" w:color="auto"/>
            </w:tcBorders>
            <w:vAlign w:val="center"/>
          </w:tcPr>
          <w:p w14:paraId="330C7FC6" w14:textId="77777777" w:rsidR="000D6C9F" w:rsidRPr="00D94EA9" w:rsidRDefault="000D6C9F" w:rsidP="00D94EA9">
            <w:pPr>
              <w:spacing w:after="0"/>
              <w:jc w:val="right"/>
            </w:pPr>
            <w:r w:rsidRPr="00D94EA9">
              <w:t>14.0</w:t>
            </w:r>
          </w:p>
        </w:tc>
        <w:tc>
          <w:tcPr>
            <w:tcW w:w="1728" w:type="dxa"/>
            <w:tcBorders>
              <w:top w:val="single" w:sz="12" w:space="0" w:color="auto"/>
              <w:right w:val="nil"/>
            </w:tcBorders>
            <w:vAlign w:val="center"/>
          </w:tcPr>
          <w:p w14:paraId="018E94FE" w14:textId="77777777" w:rsidR="000D6C9F" w:rsidRPr="00D94EA9" w:rsidRDefault="000D6C9F" w:rsidP="00D94EA9">
            <w:pPr>
              <w:spacing w:after="0"/>
              <w:jc w:val="right"/>
            </w:pPr>
            <w:r w:rsidRPr="00D94EA9">
              <w:t>14.0</w:t>
            </w:r>
          </w:p>
        </w:tc>
        <w:tc>
          <w:tcPr>
            <w:tcW w:w="2880" w:type="dxa"/>
            <w:tcBorders>
              <w:top w:val="single" w:sz="12" w:space="0" w:color="auto"/>
              <w:right w:val="nil"/>
            </w:tcBorders>
            <w:vAlign w:val="center"/>
          </w:tcPr>
          <w:p w14:paraId="3EDDFF3F" w14:textId="77777777" w:rsidR="000D6C9F" w:rsidRPr="00D94EA9" w:rsidRDefault="000D6C9F" w:rsidP="000D6C9F">
            <w:pPr>
              <w:spacing w:after="0"/>
            </w:pPr>
          </w:p>
        </w:tc>
      </w:tr>
      <w:tr w:rsidR="000D6C9F" w:rsidRPr="00D94EA9" w14:paraId="7A97F9BE" w14:textId="6595EE40" w:rsidTr="000D6C9F">
        <w:trPr>
          <w:trHeight w:val="360"/>
          <w:jc w:val="center"/>
        </w:trPr>
        <w:tc>
          <w:tcPr>
            <w:tcW w:w="2880" w:type="dxa"/>
            <w:tcBorders>
              <w:left w:val="nil"/>
            </w:tcBorders>
            <w:vAlign w:val="center"/>
          </w:tcPr>
          <w:p w14:paraId="417CC562" w14:textId="77777777" w:rsidR="000D6C9F" w:rsidRPr="009B7F1A" w:rsidRDefault="000D6C9F" w:rsidP="00D94EA9">
            <w:pPr>
              <w:spacing w:after="0"/>
            </w:pPr>
            <w:r w:rsidRPr="009B7F1A">
              <w:t># of antennas in array</w:t>
            </w:r>
          </w:p>
        </w:tc>
        <w:tc>
          <w:tcPr>
            <w:tcW w:w="720" w:type="dxa"/>
            <w:vAlign w:val="center"/>
          </w:tcPr>
          <w:p w14:paraId="6AAD0D67" w14:textId="77777777" w:rsidR="000D6C9F" w:rsidRPr="009B7F1A" w:rsidRDefault="000D6C9F" w:rsidP="00D94EA9">
            <w:pPr>
              <w:spacing w:after="0"/>
            </w:pPr>
          </w:p>
        </w:tc>
        <w:tc>
          <w:tcPr>
            <w:tcW w:w="1728" w:type="dxa"/>
            <w:vAlign w:val="center"/>
          </w:tcPr>
          <w:p w14:paraId="0BE8093B" w14:textId="77777777" w:rsidR="000D6C9F" w:rsidRPr="009B7F1A" w:rsidRDefault="000D6C9F" w:rsidP="00D94EA9">
            <w:pPr>
              <w:spacing w:after="0"/>
              <w:jc w:val="right"/>
            </w:pPr>
            <w:r w:rsidRPr="009B7F1A">
              <w:t>16</w:t>
            </w:r>
          </w:p>
        </w:tc>
        <w:tc>
          <w:tcPr>
            <w:tcW w:w="1728" w:type="dxa"/>
            <w:tcBorders>
              <w:right w:val="nil"/>
            </w:tcBorders>
            <w:vAlign w:val="center"/>
          </w:tcPr>
          <w:p w14:paraId="5FB6C39F" w14:textId="77777777" w:rsidR="000D6C9F" w:rsidRPr="009B7F1A" w:rsidRDefault="000D6C9F" w:rsidP="00D94EA9">
            <w:pPr>
              <w:spacing w:after="0"/>
              <w:jc w:val="right"/>
            </w:pPr>
            <w:r w:rsidRPr="009B7F1A">
              <w:t>16</w:t>
            </w:r>
          </w:p>
        </w:tc>
        <w:tc>
          <w:tcPr>
            <w:tcW w:w="2880" w:type="dxa"/>
            <w:tcBorders>
              <w:right w:val="nil"/>
            </w:tcBorders>
            <w:vAlign w:val="center"/>
          </w:tcPr>
          <w:p w14:paraId="43E1E956" w14:textId="41D66951" w:rsidR="000D6C9F" w:rsidRPr="000D6C9F" w:rsidRDefault="000D6C9F" w:rsidP="000D6C9F">
            <w:pPr>
              <w:spacing w:after="0"/>
            </w:pPr>
            <w:r w:rsidRPr="000D6C9F">
              <w:t>Previously 4 for handheld</w:t>
            </w:r>
          </w:p>
        </w:tc>
      </w:tr>
      <w:tr w:rsidR="000D6C9F" w:rsidRPr="00D94EA9" w14:paraId="3FAF75F1" w14:textId="4CC16B26" w:rsidTr="000D6C9F">
        <w:trPr>
          <w:trHeight w:val="576"/>
          <w:jc w:val="center"/>
        </w:trPr>
        <w:tc>
          <w:tcPr>
            <w:tcW w:w="2880" w:type="dxa"/>
            <w:tcBorders>
              <w:left w:val="nil"/>
            </w:tcBorders>
            <w:vAlign w:val="center"/>
          </w:tcPr>
          <w:p w14:paraId="3354F1E6" w14:textId="77777777" w:rsidR="000D6C9F" w:rsidRPr="00D94EA9" w:rsidRDefault="000D6C9F" w:rsidP="00D94EA9">
            <w:pPr>
              <w:spacing w:after="0"/>
            </w:pPr>
            <w:r w:rsidRPr="00D94EA9">
              <w:t>Total conducted power per polarization</w:t>
            </w:r>
          </w:p>
        </w:tc>
        <w:tc>
          <w:tcPr>
            <w:tcW w:w="720" w:type="dxa"/>
            <w:vAlign w:val="center"/>
          </w:tcPr>
          <w:p w14:paraId="5CD0DDF1" w14:textId="77777777" w:rsidR="000D6C9F" w:rsidRPr="00D94EA9" w:rsidRDefault="000D6C9F" w:rsidP="00D94EA9">
            <w:pPr>
              <w:spacing w:after="0"/>
            </w:pPr>
            <w:r w:rsidRPr="00D94EA9">
              <w:t>dBm</w:t>
            </w:r>
          </w:p>
        </w:tc>
        <w:tc>
          <w:tcPr>
            <w:tcW w:w="1728" w:type="dxa"/>
            <w:vAlign w:val="center"/>
          </w:tcPr>
          <w:p w14:paraId="53DF5B23" w14:textId="77777777" w:rsidR="000D6C9F" w:rsidRPr="00D94EA9" w:rsidRDefault="000D6C9F" w:rsidP="00D94EA9">
            <w:pPr>
              <w:spacing w:after="0"/>
              <w:jc w:val="right"/>
            </w:pPr>
            <w:r w:rsidRPr="00D94EA9">
              <w:t>26.0</w:t>
            </w:r>
          </w:p>
        </w:tc>
        <w:tc>
          <w:tcPr>
            <w:tcW w:w="1728" w:type="dxa"/>
            <w:tcBorders>
              <w:right w:val="nil"/>
            </w:tcBorders>
            <w:vAlign w:val="center"/>
          </w:tcPr>
          <w:p w14:paraId="3AB83FD5" w14:textId="77777777" w:rsidR="000D6C9F" w:rsidRPr="00D94EA9" w:rsidRDefault="000D6C9F" w:rsidP="00D94EA9">
            <w:pPr>
              <w:spacing w:after="0"/>
              <w:jc w:val="right"/>
            </w:pPr>
            <w:r w:rsidRPr="00D94EA9">
              <w:t>26.0</w:t>
            </w:r>
          </w:p>
        </w:tc>
        <w:tc>
          <w:tcPr>
            <w:tcW w:w="2880" w:type="dxa"/>
            <w:tcBorders>
              <w:right w:val="nil"/>
            </w:tcBorders>
            <w:vAlign w:val="center"/>
          </w:tcPr>
          <w:p w14:paraId="333861A7" w14:textId="7F1D96FE" w:rsidR="000D6C9F" w:rsidRPr="00D94EA9" w:rsidRDefault="00C538DD" w:rsidP="000D6C9F">
            <w:pPr>
              <w:spacing w:after="0"/>
            </w:pPr>
            <w:r>
              <w:t>Previously 20 dBm</w:t>
            </w:r>
          </w:p>
        </w:tc>
      </w:tr>
      <w:tr w:rsidR="000D6C9F" w:rsidRPr="00D94EA9" w14:paraId="052C4B3B" w14:textId="15071D23" w:rsidTr="000D6C9F">
        <w:trPr>
          <w:trHeight w:val="360"/>
          <w:jc w:val="center"/>
        </w:trPr>
        <w:tc>
          <w:tcPr>
            <w:tcW w:w="2880" w:type="dxa"/>
            <w:tcBorders>
              <w:left w:val="nil"/>
            </w:tcBorders>
            <w:vAlign w:val="center"/>
          </w:tcPr>
          <w:p w14:paraId="494C7312" w14:textId="77777777" w:rsidR="000D6C9F" w:rsidRPr="00D94EA9" w:rsidRDefault="000D6C9F" w:rsidP="00D94EA9">
            <w:pPr>
              <w:spacing w:after="0"/>
            </w:pPr>
            <w:r w:rsidRPr="00D94EA9">
              <w:t>Avg. antenna element gain</w:t>
            </w:r>
          </w:p>
        </w:tc>
        <w:tc>
          <w:tcPr>
            <w:tcW w:w="720" w:type="dxa"/>
            <w:vAlign w:val="center"/>
          </w:tcPr>
          <w:p w14:paraId="14E74F2F" w14:textId="77777777" w:rsidR="000D6C9F" w:rsidRPr="00D94EA9" w:rsidRDefault="000D6C9F" w:rsidP="00D94EA9">
            <w:pPr>
              <w:spacing w:after="0"/>
            </w:pPr>
            <w:r w:rsidRPr="00D94EA9">
              <w:t>dBi</w:t>
            </w:r>
          </w:p>
        </w:tc>
        <w:tc>
          <w:tcPr>
            <w:tcW w:w="1728" w:type="dxa"/>
            <w:vAlign w:val="center"/>
          </w:tcPr>
          <w:p w14:paraId="08D58928" w14:textId="77777777" w:rsidR="000D6C9F" w:rsidRPr="00D94EA9" w:rsidRDefault="000D6C9F" w:rsidP="00D94EA9">
            <w:pPr>
              <w:spacing w:after="0"/>
              <w:jc w:val="right"/>
            </w:pPr>
            <w:r w:rsidRPr="00D94EA9">
              <w:t>4.0</w:t>
            </w:r>
          </w:p>
        </w:tc>
        <w:tc>
          <w:tcPr>
            <w:tcW w:w="1728" w:type="dxa"/>
            <w:tcBorders>
              <w:right w:val="nil"/>
            </w:tcBorders>
            <w:vAlign w:val="center"/>
          </w:tcPr>
          <w:p w14:paraId="02FB7729" w14:textId="77777777" w:rsidR="000D6C9F" w:rsidRPr="00D94EA9" w:rsidRDefault="000D6C9F" w:rsidP="00D94EA9">
            <w:pPr>
              <w:spacing w:after="0"/>
              <w:jc w:val="right"/>
            </w:pPr>
            <w:r w:rsidRPr="00D94EA9">
              <w:t>4.0</w:t>
            </w:r>
          </w:p>
        </w:tc>
        <w:tc>
          <w:tcPr>
            <w:tcW w:w="2880" w:type="dxa"/>
            <w:tcBorders>
              <w:right w:val="nil"/>
            </w:tcBorders>
            <w:vAlign w:val="center"/>
          </w:tcPr>
          <w:p w14:paraId="4CF5768B" w14:textId="77777777" w:rsidR="000D6C9F" w:rsidRPr="00D94EA9" w:rsidRDefault="000D6C9F" w:rsidP="000D6C9F">
            <w:pPr>
              <w:spacing w:after="0"/>
            </w:pPr>
          </w:p>
        </w:tc>
      </w:tr>
      <w:tr w:rsidR="000D6C9F" w:rsidRPr="00D94EA9" w14:paraId="4307F617" w14:textId="7FD1A07D" w:rsidTr="000D6C9F">
        <w:trPr>
          <w:trHeight w:val="576"/>
          <w:jc w:val="center"/>
        </w:trPr>
        <w:tc>
          <w:tcPr>
            <w:tcW w:w="2880" w:type="dxa"/>
            <w:tcBorders>
              <w:left w:val="nil"/>
            </w:tcBorders>
            <w:vAlign w:val="center"/>
          </w:tcPr>
          <w:p w14:paraId="0F4ED60B" w14:textId="77777777" w:rsidR="000D6C9F" w:rsidRPr="00D94EA9" w:rsidRDefault="000D6C9F" w:rsidP="00D94EA9">
            <w:pPr>
              <w:spacing w:after="0"/>
            </w:pPr>
            <w:r w:rsidRPr="00D94EA9">
              <w:t>Antenna roll-off loss vs frequency</w:t>
            </w:r>
          </w:p>
        </w:tc>
        <w:tc>
          <w:tcPr>
            <w:tcW w:w="720" w:type="dxa"/>
            <w:vAlign w:val="center"/>
          </w:tcPr>
          <w:p w14:paraId="5E761061" w14:textId="77777777" w:rsidR="000D6C9F" w:rsidRPr="00D94EA9" w:rsidRDefault="000D6C9F" w:rsidP="00D94EA9">
            <w:pPr>
              <w:spacing w:after="0"/>
            </w:pPr>
            <w:r w:rsidRPr="00D94EA9">
              <w:t>dB</w:t>
            </w:r>
          </w:p>
        </w:tc>
        <w:tc>
          <w:tcPr>
            <w:tcW w:w="1728" w:type="dxa"/>
            <w:vAlign w:val="center"/>
          </w:tcPr>
          <w:p w14:paraId="725F4EDF" w14:textId="0159A02C" w:rsidR="000D6C9F" w:rsidRPr="00D94EA9" w:rsidRDefault="000D6C9F" w:rsidP="002375DA">
            <w:pPr>
              <w:spacing w:after="0"/>
              <w:jc w:val="right"/>
            </w:pPr>
            <w:r w:rsidRPr="00D94EA9">
              <w:t>-</w:t>
            </w:r>
            <w:r w:rsidR="002375DA">
              <w:t>2</w:t>
            </w:r>
            <w:r w:rsidRPr="00D94EA9">
              <w:t>.</w:t>
            </w:r>
            <w:r w:rsidR="002375DA">
              <w:t>0</w:t>
            </w:r>
          </w:p>
        </w:tc>
        <w:tc>
          <w:tcPr>
            <w:tcW w:w="1728" w:type="dxa"/>
            <w:tcBorders>
              <w:right w:val="nil"/>
            </w:tcBorders>
            <w:vAlign w:val="center"/>
          </w:tcPr>
          <w:p w14:paraId="4D61C7F5" w14:textId="699BD5B6" w:rsidR="000D6C9F" w:rsidRPr="00D94EA9" w:rsidRDefault="000D6C9F" w:rsidP="002375DA">
            <w:pPr>
              <w:spacing w:after="0"/>
              <w:jc w:val="right"/>
            </w:pPr>
            <w:r w:rsidRPr="00D94EA9">
              <w:t>-2.</w:t>
            </w:r>
            <w:r w:rsidR="002375DA">
              <w:t>5</w:t>
            </w:r>
          </w:p>
        </w:tc>
        <w:tc>
          <w:tcPr>
            <w:tcW w:w="2880" w:type="dxa"/>
            <w:tcBorders>
              <w:right w:val="nil"/>
            </w:tcBorders>
            <w:vAlign w:val="center"/>
          </w:tcPr>
          <w:p w14:paraId="2806CE21" w14:textId="77777777" w:rsidR="000D6C9F" w:rsidRPr="00D94EA9" w:rsidRDefault="000D6C9F" w:rsidP="000D6C9F">
            <w:pPr>
              <w:spacing w:after="0"/>
            </w:pPr>
          </w:p>
        </w:tc>
      </w:tr>
      <w:tr w:rsidR="000D6C9F" w:rsidRPr="00D94EA9" w14:paraId="446326BE" w14:textId="281E7F10" w:rsidTr="000D6C9F">
        <w:trPr>
          <w:trHeight w:val="360"/>
          <w:jc w:val="center"/>
        </w:trPr>
        <w:tc>
          <w:tcPr>
            <w:tcW w:w="2880" w:type="dxa"/>
            <w:tcBorders>
              <w:left w:val="nil"/>
            </w:tcBorders>
            <w:vAlign w:val="center"/>
          </w:tcPr>
          <w:p w14:paraId="237895D1" w14:textId="77777777" w:rsidR="000D6C9F" w:rsidRPr="00D94EA9" w:rsidRDefault="000D6C9F" w:rsidP="00D94EA9">
            <w:pPr>
              <w:spacing w:after="0"/>
            </w:pPr>
            <w:r w:rsidRPr="00D94EA9">
              <w:t>Realized antenna array gain</w:t>
            </w:r>
          </w:p>
        </w:tc>
        <w:tc>
          <w:tcPr>
            <w:tcW w:w="720" w:type="dxa"/>
            <w:vAlign w:val="center"/>
          </w:tcPr>
          <w:p w14:paraId="64183503" w14:textId="77777777" w:rsidR="000D6C9F" w:rsidRPr="00D94EA9" w:rsidRDefault="000D6C9F" w:rsidP="00D94EA9">
            <w:pPr>
              <w:spacing w:after="0"/>
            </w:pPr>
            <w:r w:rsidRPr="00D94EA9">
              <w:t>dBi</w:t>
            </w:r>
          </w:p>
        </w:tc>
        <w:tc>
          <w:tcPr>
            <w:tcW w:w="1728" w:type="dxa"/>
            <w:vAlign w:val="center"/>
          </w:tcPr>
          <w:p w14:paraId="0FB695E0" w14:textId="656D8CE1" w:rsidR="000D6C9F" w:rsidRPr="00D94EA9" w:rsidRDefault="000D6C9F" w:rsidP="00A547BF">
            <w:pPr>
              <w:spacing w:after="0"/>
              <w:jc w:val="right"/>
            </w:pPr>
            <w:r w:rsidRPr="00D94EA9">
              <w:t>14.</w:t>
            </w:r>
            <w:r w:rsidR="00A547BF">
              <w:t>0</w:t>
            </w:r>
          </w:p>
        </w:tc>
        <w:tc>
          <w:tcPr>
            <w:tcW w:w="1728" w:type="dxa"/>
            <w:tcBorders>
              <w:right w:val="nil"/>
            </w:tcBorders>
            <w:vAlign w:val="center"/>
          </w:tcPr>
          <w:p w14:paraId="6AA0676C" w14:textId="01D4BDEE" w:rsidR="000D6C9F" w:rsidRPr="00D94EA9" w:rsidRDefault="000D6C9F" w:rsidP="00A547BF">
            <w:pPr>
              <w:spacing w:after="0"/>
              <w:jc w:val="right"/>
            </w:pPr>
            <w:r w:rsidRPr="00D94EA9">
              <w:t>1</w:t>
            </w:r>
            <w:r w:rsidR="00A547BF">
              <w:t>3</w:t>
            </w:r>
            <w:r w:rsidRPr="00D94EA9">
              <w:t>.</w:t>
            </w:r>
            <w:r w:rsidR="00A547BF">
              <w:t>5</w:t>
            </w:r>
          </w:p>
        </w:tc>
        <w:tc>
          <w:tcPr>
            <w:tcW w:w="2880" w:type="dxa"/>
            <w:tcBorders>
              <w:right w:val="nil"/>
            </w:tcBorders>
            <w:vAlign w:val="center"/>
          </w:tcPr>
          <w:p w14:paraId="34FD4FB2" w14:textId="77777777" w:rsidR="000D6C9F" w:rsidRPr="00D94EA9" w:rsidRDefault="000D6C9F" w:rsidP="000D6C9F">
            <w:pPr>
              <w:spacing w:after="0"/>
            </w:pPr>
          </w:p>
        </w:tc>
      </w:tr>
      <w:tr w:rsidR="000D6C9F" w:rsidRPr="00D94EA9" w14:paraId="21439C48" w14:textId="74E7330E" w:rsidTr="000D6C9F">
        <w:trPr>
          <w:trHeight w:val="360"/>
          <w:jc w:val="center"/>
        </w:trPr>
        <w:tc>
          <w:tcPr>
            <w:tcW w:w="2880" w:type="dxa"/>
            <w:tcBorders>
              <w:left w:val="nil"/>
              <w:bottom w:val="single" w:sz="12" w:space="0" w:color="auto"/>
            </w:tcBorders>
            <w:vAlign w:val="center"/>
          </w:tcPr>
          <w:p w14:paraId="2AD21D1E" w14:textId="77777777" w:rsidR="000D6C9F" w:rsidRPr="009B7F1A" w:rsidRDefault="000D6C9F" w:rsidP="00D94EA9">
            <w:pPr>
              <w:spacing w:after="0"/>
            </w:pPr>
            <w:r w:rsidRPr="009B7F1A">
              <w:t>Polarization gain</w:t>
            </w:r>
          </w:p>
        </w:tc>
        <w:tc>
          <w:tcPr>
            <w:tcW w:w="720" w:type="dxa"/>
            <w:tcBorders>
              <w:bottom w:val="single" w:sz="12" w:space="0" w:color="auto"/>
            </w:tcBorders>
            <w:vAlign w:val="center"/>
          </w:tcPr>
          <w:p w14:paraId="59B3D66C" w14:textId="77777777" w:rsidR="000D6C9F" w:rsidRPr="009B7F1A" w:rsidRDefault="000D6C9F" w:rsidP="00D94EA9">
            <w:pPr>
              <w:spacing w:after="0"/>
            </w:pPr>
            <w:r w:rsidRPr="009B7F1A">
              <w:t>dB</w:t>
            </w:r>
          </w:p>
        </w:tc>
        <w:tc>
          <w:tcPr>
            <w:tcW w:w="1728" w:type="dxa"/>
            <w:tcBorders>
              <w:bottom w:val="single" w:sz="12" w:space="0" w:color="auto"/>
            </w:tcBorders>
            <w:vAlign w:val="center"/>
          </w:tcPr>
          <w:p w14:paraId="6335D4DC" w14:textId="77777777" w:rsidR="000D6C9F" w:rsidRPr="009B7F1A" w:rsidRDefault="000D6C9F" w:rsidP="00D94EA9">
            <w:pPr>
              <w:spacing w:after="0"/>
              <w:jc w:val="right"/>
            </w:pPr>
            <w:r w:rsidRPr="009B7F1A">
              <w:t>2.80</w:t>
            </w:r>
          </w:p>
        </w:tc>
        <w:tc>
          <w:tcPr>
            <w:tcW w:w="1728" w:type="dxa"/>
            <w:tcBorders>
              <w:bottom w:val="single" w:sz="12" w:space="0" w:color="auto"/>
              <w:right w:val="nil"/>
            </w:tcBorders>
            <w:vAlign w:val="center"/>
          </w:tcPr>
          <w:p w14:paraId="2333DDC8" w14:textId="77777777" w:rsidR="000D6C9F" w:rsidRPr="009B7F1A" w:rsidRDefault="000D6C9F" w:rsidP="00D94EA9">
            <w:pPr>
              <w:spacing w:after="0"/>
              <w:jc w:val="right"/>
            </w:pPr>
            <w:r w:rsidRPr="009B7F1A">
              <w:t>2.80</w:t>
            </w:r>
          </w:p>
        </w:tc>
        <w:tc>
          <w:tcPr>
            <w:tcW w:w="2880" w:type="dxa"/>
            <w:tcBorders>
              <w:bottom w:val="single" w:sz="12" w:space="0" w:color="auto"/>
              <w:right w:val="nil"/>
            </w:tcBorders>
            <w:vAlign w:val="center"/>
          </w:tcPr>
          <w:p w14:paraId="649EA6A8" w14:textId="77777777" w:rsidR="000D6C9F" w:rsidRPr="000D6C9F" w:rsidRDefault="000D6C9F" w:rsidP="000D6C9F">
            <w:pPr>
              <w:spacing w:after="0"/>
              <w:rPr>
                <w:highlight w:val="yellow"/>
              </w:rPr>
            </w:pPr>
          </w:p>
        </w:tc>
      </w:tr>
      <w:tr w:rsidR="000D6C9F" w:rsidRPr="00D94EA9" w14:paraId="6A9FC86D" w14:textId="356C5D90" w:rsidTr="000D6C9F">
        <w:trPr>
          <w:trHeight w:val="576"/>
          <w:jc w:val="center"/>
        </w:trPr>
        <w:tc>
          <w:tcPr>
            <w:tcW w:w="2880" w:type="dxa"/>
            <w:tcBorders>
              <w:top w:val="single" w:sz="12" w:space="0" w:color="auto"/>
              <w:left w:val="nil"/>
            </w:tcBorders>
            <w:vAlign w:val="center"/>
          </w:tcPr>
          <w:p w14:paraId="39CF461B" w14:textId="77777777" w:rsidR="000D6C9F" w:rsidRPr="00A547BF" w:rsidRDefault="000D6C9F" w:rsidP="00D94EA9">
            <w:pPr>
              <w:spacing w:after="0"/>
              <w:rPr>
                <w:color w:val="000000"/>
              </w:rPr>
            </w:pPr>
            <w:r w:rsidRPr="00A547BF">
              <w:rPr>
                <w:color w:val="000000"/>
              </w:rPr>
              <w:t>Mismatch and transmission line loss including load pull</w:t>
            </w:r>
          </w:p>
        </w:tc>
        <w:tc>
          <w:tcPr>
            <w:tcW w:w="720" w:type="dxa"/>
            <w:tcBorders>
              <w:top w:val="single" w:sz="12" w:space="0" w:color="auto"/>
            </w:tcBorders>
            <w:vAlign w:val="center"/>
          </w:tcPr>
          <w:p w14:paraId="5FC14C61" w14:textId="77777777" w:rsidR="000D6C9F" w:rsidRPr="00A547BF" w:rsidRDefault="000D6C9F" w:rsidP="00D94EA9">
            <w:pPr>
              <w:spacing w:after="0"/>
              <w:rPr>
                <w:color w:val="000000"/>
              </w:rPr>
            </w:pPr>
            <w:r w:rsidRPr="00A547BF">
              <w:rPr>
                <w:color w:val="000000"/>
              </w:rPr>
              <w:t>dB</w:t>
            </w:r>
          </w:p>
        </w:tc>
        <w:tc>
          <w:tcPr>
            <w:tcW w:w="1728" w:type="dxa"/>
            <w:tcBorders>
              <w:top w:val="single" w:sz="12" w:space="0" w:color="auto"/>
            </w:tcBorders>
            <w:vAlign w:val="center"/>
          </w:tcPr>
          <w:p w14:paraId="159C0586" w14:textId="50AF2087" w:rsidR="000D6C9F" w:rsidRPr="00A547BF" w:rsidRDefault="000D6C9F" w:rsidP="002375DA">
            <w:pPr>
              <w:spacing w:after="0"/>
              <w:jc w:val="right"/>
              <w:rPr>
                <w:color w:val="000000"/>
              </w:rPr>
            </w:pPr>
            <w:r w:rsidRPr="00A547BF">
              <w:rPr>
                <w:color w:val="000000"/>
              </w:rPr>
              <w:t>-2.</w:t>
            </w:r>
            <w:r w:rsidR="002375DA" w:rsidRPr="00A547BF">
              <w:rPr>
                <w:color w:val="000000"/>
              </w:rPr>
              <w:t>5</w:t>
            </w:r>
            <w:r w:rsidRPr="00A547BF">
              <w:rPr>
                <w:color w:val="000000"/>
              </w:rPr>
              <w:t>0</w:t>
            </w:r>
          </w:p>
        </w:tc>
        <w:tc>
          <w:tcPr>
            <w:tcW w:w="1728" w:type="dxa"/>
            <w:tcBorders>
              <w:top w:val="single" w:sz="12" w:space="0" w:color="auto"/>
              <w:right w:val="nil"/>
            </w:tcBorders>
            <w:vAlign w:val="center"/>
          </w:tcPr>
          <w:p w14:paraId="1D8CA8D1" w14:textId="4DF1BAED" w:rsidR="000D6C9F" w:rsidRPr="00A547BF" w:rsidRDefault="000D6C9F" w:rsidP="002375DA">
            <w:pPr>
              <w:spacing w:after="0"/>
              <w:jc w:val="right"/>
              <w:rPr>
                <w:color w:val="000000"/>
              </w:rPr>
            </w:pPr>
            <w:r w:rsidRPr="00A547BF">
              <w:rPr>
                <w:color w:val="000000"/>
              </w:rPr>
              <w:t>-</w:t>
            </w:r>
            <w:r w:rsidR="002375DA" w:rsidRPr="00A547BF">
              <w:rPr>
                <w:color w:val="000000"/>
              </w:rPr>
              <w:t>3</w:t>
            </w:r>
            <w:r w:rsidRPr="00A547BF">
              <w:rPr>
                <w:color w:val="000000"/>
              </w:rPr>
              <w:t>.</w:t>
            </w:r>
            <w:r w:rsidR="002375DA" w:rsidRPr="00A547BF">
              <w:rPr>
                <w:color w:val="000000"/>
              </w:rPr>
              <w:t>0</w:t>
            </w:r>
            <w:r w:rsidRPr="00A547BF">
              <w:rPr>
                <w:color w:val="000000"/>
              </w:rPr>
              <w:t>0</w:t>
            </w:r>
          </w:p>
        </w:tc>
        <w:tc>
          <w:tcPr>
            <w:tcW w:w="2880" w:type="dxa"/>
            <w:tcBorders>
              <w:top w:val="single" w:sz="12" w:space="0" w:color="auto"/>
              <w:right w:val="nil"/>
            </w:tcBorders>
            <w:vAlign w:val="center"/>
          </w:tcPr>
          <w:p w14:paraId="194E31AF" w14:textId="77777777" w:rsidR="000D6C9F" w:rsidRPr="00D94EA9" w:rsidRDefault="000D6C9F" w:rsidP="000D6C9F">
            <w:pPr>
              <w:spacing w:after="0"/>
              <w:rPr>
                <w:color w:val="000000"/>
              </w:rPr>
            </w:pPr>
          </w:p>
        </w:tc>
      </w:tr>
      <w:tr w:rsidR="000D6C9F" w:rsidRPr="00D94EA9" w14:paraId="1F707254" w14:textId="67D4CE47" w:rsidTr="000D6C9F">
        <w:trPr>
          <w:trHeight w:val="576"/>
          <w:jc w:val="center"/>
        </w:trPr>
        <w:tc>
          <w:tcPr>
            <w:tcW w:w="2880" w:type="dxa"/>
            <w:tcBorders>
              <w:left w:val="nil"/>
            </w:tcBorders>
            <w:vAlign w:val="center"/>
          </w:tcPr>
          <w:p w14:paraId="0ED8F3C3" w14:textId="77777777" w:rsidR="000D6C9F" w:rsidRPr="00D94EA9" w:rsidRDefault="000D6C9F" w:rsidP="00D94EA9">
            <w:pPr>
              <w:spacing w:after="0"/>
              <w:rPr>
                <w:color w:val="000000"/>
              </w:rPr>
            </w:pPr>
            <w:r w:rsidRPr="00D94EA9">
              <w:rPr>
                <w:color w:val="000000"/>
              </w:rPr>
              <w:t>Beam forming loss (phase shifter and amplitude error)</w:t>
            </w:r>
          </w:p>
        </w:tc>
        <w:tc>
          <w:tcPr>
            <w:tcW w:w="720" w:type="dxa"/>
            <w:vAlign w:val="center"/>
          </w:tcPr>
          <w:p w14:paraId="340C447A" w14:textId="77777777" w:rsidR="000D6C9F" w:rsidRPr="00D94EA9" w:rsidRDefault="000D6C9F" w:rsidP="00D94EA9">
            <w:pPr>
              <w:spacing w:after="0"/>
              <w:rPr>
                <w:color w:val="000000"/>
              </w:rPr>
            </w:pPr>
            <w:r w:rsidRPr="00D94EA9">
              <w:rPr>
                <w:color w:val="000000"/>
              </w:rPr>
              <w:t>dB</w:t>
            </w:r>
          </w:p>
        </w:tc>
        <w:tc>
          <w:tcPr>
            <w:tcW w:w="1728" w:type="dxa"/>
            <w:vAlign w:val="center"/>
          </w:tcPr>
          <w:p w14:paraId="55ABBE7B" w14:textId="77777777" w:rsidR="000D6C9F" w:rsidRPr="00D94EA9" w:rsidRDefault="000D6C9F" w:rsidP="00D94EA9">
            <w:pPr>
              <w:spacing w:after="0"/>
              <w:jc w:val="right"/>
              <w:rPr>
                <w:color w:val="000000"/>
              </w:rPr>
            </w:pPr>
            <w:r w:rsidRPr="00D94EA9">
              <w:rPr>
                <w:color w:val="000000"/>
              </w:rPr>
              <w:t>-0.50</w:t>
            </w:r>
          </w:p>
        </w:tc>
        <w:tc>
          <w:tcPr>
            <w:tcW w:w="1728" w:type="dxa"/>
            <w:tcBorders>
              <w:right w:val="nil"/>
            </w:tcBorders>
            <w:vAlign w:val="center"/>
          </w:tcPr>
          <w:p w14:paraId="38B75D6F" w14:textId="77777777" w:rsidR="000D6C9F" w:rsidRPr="00D94EA9" w:rsidRDefault="000D6C9F" w:rsidP="00D94EA9">
            <w:pPr>
              <w:spacing w:after="0"/>
              <w:jc w:val="right"/>
              <w:rPr>
                <w:color w:val="000000"/>
              </w:rPr>
            </w:pPr>
            <w:r w:rsidRPr="00D94EA9">
              <w:rPr>
                <w:color w:val="000000"/>
              </w:rPr>
              <w:t>-0.50</w:t>
            </w:r>
          </w:p>
        </w:tc>
        <w:tc>
          <w:tcPr>
            <w:tcW w:w="2880" w:type="dxa"/>
            <w:tcBorders>
              <w:right w:val="nil"/>
            </w:tcBorders>
            <w:vAlign w:val="center"/>
          </w:tcPr>
          <w:p w14:paraId="69FA7379" w14:textId="77777777" w:rsidR="000D6C9F" w:rsidRPr="00D94EA9" w:rsidRDefault="000D6C9F" w:rsidP="000D6C9F">
            <w:pPr>
              <w:spacing w:after="0"/>
              <w:rPr>
                <w:color w:val="000000"/>
              </w:rPr>
            </w:pPr>
          </w:p>
        </w:tc>
      </w:tr>
      <w:tr w:rsidR="000D6C9F" w:rsidRPr="00D94EA9" w14:paraId="28A7425C" w14:textId="482CE88F" w:rsidTr="000D6C9F">
        <w:trPr>
          <w:trHeight w:val="360"/>
          <w:jc w:val="center"/>
        </w:trPr>
        <w:tc>
          <w:tcPr>
            <w:tcW w:w="2880" w:type="dxa"/>
            <w:tcBorders>
              <w:left w:val="nil"/>
            </w:tcBorders>
            <w:vAlign w:val="center"/>
          </w:tcPr>
          <w:p w14:paraId="37DECC92" w14:textId="77777777" w:rsidR="000D6C9F" w:rsidRPr="00D94EA9" w:rsidRDefault="000D6C9F" w:rsidP="00D94EA9">
            <w:pPr>
              <w:spacing w:after="0"/>
              <w:rPr>
                <w:color w:val="000000"/>
              </w:rPr>
            </w:pPr>
            <w:r w:rsidRPr="00D94EA9">
              <w:rPr>
                <w:color w:val="000000"/>
              </w:rPr>
              <w:t>Finite beam table</w:t>
            </w:r>
          </w:p>
        </w:tc>
        <w:tc>
          <w:tcPr>
            <w:tcW w:w="720" w:type="dxa"/>
            <w:vAlign w:val="center"/>
          </w:tcPr>
          <w:p w14:paraId="795ABE86" w14:textId="77777777" w:rsidR="000D6C9F" w:rsidRPr="00D94EA9" w:rsidRDefault="000D6C9F" w:rsidP="00D94EA9">
            <w:pPr>
              <w:spacing w:after="0"/>
              <w:rPr>
                <w:color w:val="000000"/>
              </w:rPr>
            </w:pPr>
            <w:r w:rsidRPr="00D94EA9">
              <w:rPr>
                <w:color w:val="000000"/>
              </w:rPr>
              <w:t>dB</w:t>
            </w:r>
          </w:p>
        </w:tc>
        <w:tc>
          <w:tcPr>
            <w:tcW w:w="1728" w:type="dxa"/>
            <w:vAlign w:val="center"/>
          </w:tcPr>
          <w:p w14:paraId="294C1171" w14:textId="77777777" w:rsidR="000D6C9F" w:rsidRPr="00D94EA9" w:rsidRDefault="000D6C9F" w:rsidP="00D94EA9">
            <w:pPr>
              <w:spacing w:after="0"/>
              <w:jc w:val="right"/>
              <w:rPr>
                <w:color w:val="000000"/>
              </w:rPr>
            </w:pPr>
            <w:r w:rsidRPr="00D94EA9">
              <w:rPr>
                <w:color w:val="000000"/>
              </w:rPr>
              <w:t>-0.25</w:t>
            </w:r>
          </w:p>
        </w:tc>
        <w:tc>
          <w:tcPr>
            <w:tcW w:w="1728" w:type="dxa"/>
            <w:tcBorders>
              <w:right w:val="nil"/>
            </w:tcBorders>
            <w:vAlign w:val="center"/>
          </w:tcPr>
          <w:p w14:paraId="6645F224" w14:textId="77777777" w:rsidR="000D6C9F" w:rsidRPr="00D94EA9" w:rsidRDefault="000D6C9F" w:rsidP="00D94EA9">
            <w:pPr>
              <w:spacing w:after="0"/>
              <w:jc w:val="right"/>
              <w:rPr>
                <w:color w:val="000000"/>
              </w:rPr>
            </w:pPr>
            <w:r w:rsidRPr="00D94EA9">
              <w:rPr>
                <w:color w:val="000000"/>
              </w:rPr>
              <w:t>-0.25</w:t>
            </w:r>
          </w:p>
        </w:tc>
        <w:tc>
          <w:tcPr>
            <w:tcW w:w="2880" w:type="dxa"/>
            <w:tcBorders>
              <w:right w:val="nil"/>
            </w:tcBorders>
            <w:vAlign w:val="center"/>
          </w:tcPr>
          <w:p w14:paraId="7DE29C99" w14:textId="77777777" w:rsidR="000D6C9F" w:rsidRPr="00D94EA9" w:rsidRDefault="000D6C9F" w:rsidP="000D6C9F">
            <w:pPr>
              <w:spacing w:after="0"/>
              <w:rPr>
                <w:color w:val="000000"/>
              </w:rPr>
            </w:pPr>
          </w:p>
        </w:tc>
      </w:tr>
      <w:tr w:rsidR="000D6C9F" w:rsidRPr="00D94EA9" w14:paraId="1DA1E6ED" w14:textId="799E93F0" w:rsidTr="000D6C9F">
        <w:trPr>
          <w:trHeight w:val="576"/>
          <w:jc w:val="center"/>
        </w:trPr>
        <w:tc>
          <w:tcPr>
            <w:tcW w:w="2880" w:type="dxa"/>
            <w:tcBorders>
              <w:left w:val="nil"/>
            </w:tcBorders>
            <w:vAlign w:val="center"/>
          </w:tcPr>
          <w:p w14:paraId="33A97EEB" w14:textId="77777777" w:rsidR="000D6C9F" w:rsidRPr="00D94EA9" w:rsidRDefault="000D6C9F" w:rsidP="00D94EA9">
            <w:pPr>
              <w:spacing w:after="0"/>
              <w:rPr>
                <w:color w:val="000000"/>
              </w:rPr>
            </w:pPr>
            <w:r w:rsidRPr="00D94EA9">
              <w:rPr>
                <w:color w:val="000000"/>
              </w:rPr>
              <w:t>Beam forming loss (one beam table fits all)</w:t>
            </w:r>
          </w:p>
        </w:tc>
        <w:tc>
          <w:tcPr>
            <w:tcW w:w="720" w:type="dxa"/>
            <w:vAlign w:val="center"/>
          </w:tcPr>
          <w:p w14:paraId="0876B964" w14:textId="77777777" w:rsidR="000D6C9F" w:rsidRPr="00D94EA9" w:rsidRDefault="000D6C9F" w:rsidP="00D94EA9">
            <w:pPr>
              <w:spacing w:after="0"/>
              <w:rPr>
                <w:color w:val="000000"/>
              </w:rPr>
            </w:pPr>
            <w:r w:rsidRPr="00D94EA9">
              <w:rPr>
                <w:color w:val="000000"/>
              </w:rPr>
              <w:t>dB</w:t>
            </w:r>
          </w:p>
        </w:tc>
        <w:tc>
          <w:tcPr>
            <w:tcW w:w="1728" w:type="dxa"/>
            <w:vAlign w:val="center"/>
          </w:tcPr>
          <w:p w14:paraId="4DB2F7C3" w14:textId="77777777" w:rsidR="000D6C9F" w:rsidRPr="00D94EA9" w:rsidRDefault="000D6C9F" w:rsidP="00D94EA9">
            <w:pPr>
              <w:spacing w:after="0"/>
              <w:jc w:val="right"/>
              <w:rPr>
                <w:color w:val="000000"/>
              </w:rPr>
            </w:pPr>
            <w:r w:rsidRPr="00D94EA9">
              <w:rPr>
                <w:color w:val="000000"/>
              </w:rPr>
              <w:t>-0.25</w:t>
            </w:r>
          </w:p>
        </w:tc>
        <w:tc>
          <w:tcPr>
            <w:tcW w:w="1728" w:type="dxa"/>
            <w:tcBorders>
              <w:right w:val="nil"/>
            </w:tcBorders>
            <w:vAlign w:val="center"/>
          </w:tcPr>
          <w:p w14:paraId="65D7C3C9" w14:textId="77777777" w:rsidR="000D6C9F" w:rsidRPr="00D94EA9" w:rsidRDefault="000D6C9F" w:rsidP="00D94EA9">
            <w:pPr>
              <w:spacing w:after="0"/>
              <w:jc w:val="right"/>
              <w:rPr>
                <w:color w:val="000000"/>
              </w:rPr>
            </w:pPr>
            <w:r w:rsidRPr="00D94EA9">
              <w:rPr>
                <w:color w:val="000000"/>
              </w:rPr>
              <w:t>-0.25</w:t>
            </w:r>
          </w:p>
        </w:tc>
        <w:tc>
          <w:tcPr>
            <w:tcW w:w="2880" w:type="dxa"/>
            <w:tcBorders>
              <w:right w:val="nil"/>
            </w:tcBorders>
            <w:vAlign w:val="center"/>
          </w:tcPr>
          <w:p w14:paraId="539E4FDA" w14:textId="77777777" w:rsidR="000D6C9F" w:rsidRPr="00D94EA9" w:rsidRDefault="000D6C9F" w:rsidP="000D6C9F">
            <w:pPr>
              <w:spacing w:after="0"/>
              <w:rPr>
                <w:color w:val="000000"/>
              </w:rPr>
            </w:pPr>
          </w:p>
        </w:tc>
      </w:tr>
      <w:tr w:rsidR="000D6C9F" w:rsidRPr="00D94EA9" w14:paraId="13E5718C" w14:textId="7B6A4D29" w:rsidTr="000D6C9F">
        <w:trPr>
          <w:trHeight w:val="360"/>
          <w:jc w:val="center"/>
        </w:trPr>
        <w:tc>
          <w:tcPr>
            <w:tcW w:w="2880" w:type="dxa"/>
            <w:tcBorders>
              <w:left w:val="nil"/>
            </w:tcBorders>
            <w:vAlign w:val="center"/>
          </w:tcPr>
          <w:p w14:paraId="6724D53B" w14:textId="4FA2CF90" w:rsidR="000D6C9F" w:rsidRPr="000D6C9F" w:rsidRDefault="00C87E80" w:rsidP="00D94EA9">
            <w:pPr>
              <w:spacing w:after="0"/>
              <w:rPr>
                <w:color w:val="000000"/>
              </w:rPr>
            </w:pPr>
            <w:r>
              <w:rPr>
                <w:color w:val="000000"/>
              </w:rPr>
              <w:t>Form-</w:t>
            </w:r>
            <w:r w:rsidR="000D6C9F" w:rsidRPr="000D6C9F">
              <w:rPr>
                <w:color w:val="000000"/>
              </w:rPr>
              <w:t>factor integration losses</w:t>
            </w:r>
          </w:p>
        </w:tc>
        <w:tc>
          <w:tcPr>
            <w:tcW w:w="720" w:type="dxa"/>
            <w:vAlign w:val="center"/>
          </w:tcPr>
          <w:p w14:paraId="0B152F0C" w14:textId="77777777" w:rsidR="000D6C9F" w:rsidRPr="000D6C9F" w:rsidRDefault="000D6C9F" w:rsidP="00D94EA9">
            <w:pPr>
              <w:spacing w:after="0"/>
              <w:rPr>
                <w:color w:val="000000"/>
              </w:rPr>
            </w:pPr>
            <w:r w:rsidRPr="000D6C9F">
              <w:rPr>
                <w:color w:val="000000"/>
              </w:rPr>
              <w:t>dB</w:t>
            </w:r>
          </w:p>
        </w:tc>
        <w:tc>
          <w:tcPr>
            <w:tcW w:w="1728" w:type="dxa"/>
            <w:vAlign w:val="center"/>
          </w:tcPr>
          <w:p w14:paraId="46BAA771" w14:textId="6C61E12A" w:rsidR="000D6C9F" w:rsidRPr="000D6C9F" w:rsidRDefault="000D6C9F" w:rsidP="009B7F1A">
            <w:pPr>
              <w:spacing w:after="0"/>
              <w:jc w:val="right"/>
              <w:rPr>
                <w:color w:val="000000"/>
              </w:rPr>
            </w:pPr>
            <w:r w:rsidRPr="000D6C9F">
              <w:rPr>
                <w:color w:val="000000"/>
              </w:rPr>
              <w:t>-</w:t>
            </w:r>
            <w:r w:rsidR="009B7F1A">
              <w:rPr>
                <w:color w:val="000000"/>
              </w:rPr>
              <w:t>3</w:t>
            </w:r>
            <w:r w:rsidRPr="000D6C9F">
              <w:rPr>
                <w:color w:val="000000"/>
              </w:rPr>
              <w:t>.</w:t>
            </w:r>
            <w:r w:rsidR="009B7F1A">
              <w:rPr>
                <w:color w:val="000000"/>
              </w:rPr>
              <w:t>0</w:t>
            </w:r>
            <w:r w:rsidRPr="000D6C9F">
              <w:rPr>
                <w:color w:val="000000"/>
              </w:rPr>
              <w:t>0</w:t>
            </w:r>
          </w:p>
        </w:tc>
        <w:tc>
          <w:tcPr>
            <w:tcW w:w="1728" w:type="dxa"/>
            <w:tcBorders>
              <w:right w:val="nil"/>
            </w:tcBorders>
            <w:vAlign w:val="center"/>
          </w:tcPr>
          <w:p w14:paraId="01B669DB" w14:textId="69B95C6D" w:rsidR="000D6C9F" w:rsidRPr="000D6C9F" w:rsidRDefault="000D6C9F" w:rsidP="009B7F1A">
            <w:pPr>
              <w:spacing w:after="0"/>
              <w:jc w:val="right"/>
              <w:rPr>
                <w:color w:val="000000"/>
              </w:rPr>
            </w:pPr>
            <w:r w:rsidRPr="000D6C9F">
              <w:rPr>
                <w:color w:val="000000"/>
              </w:rPr>
              <w:t>-</w:t>
            </w:r>
            <w:r w:rsidR="009B7F1A">
              <w:rPr>
                <w:color w:val="000000"/>
              </w:rPr>
              <w:t>4</w:t>
            </w:r>
            <w:r w:rsidRPr="000D6C9F">
              <w:rPr>
                <w:color w:val="000000"/>
              </w:rPr>
              <w:t>.</w:t>
            </w:r>
            <w:r w:rsidR="009B7F1A">
              <w:rPr>
                <w:color w:val="000000"/>
              </w:rPr>
              <w:t>0</w:t>
            </w:r>
            <w:r w:rsidRPr="000D6C9F">
              <w:rPr>
                <w:color w:val="000000"/>
              </w:rPr>
              <w:t>0</w:t>
            </w:r>
          </w:p>
        </w:tc>
        <w:tc>
          <w:tcPr>
            <w:tcW w:w="2880" w:type="dxa"/>
            <w:tcBorders>
              <w:right w:val="nil"/>
            </w:tcBorders>
            <w:vAlign w:val="center"/>
          </w:tcPr>
          <w:p w14:paraId="381F1E79" w14:textId="77777777" w:rsidR="000D6C9F" w:rsidRPr="000D6C9F" w:rsidRDefault="000D6C9F" w:rsidP="000D6C9F">
            <w:pPr>
              <w:spacing w:after="0"/>
              <w:rPr>
                <w:color w:val="000000"/>
              </w:rPr>
            </w:pPr>
          </w:p>
        </w:tc>
      </w:tr>
      <w:tr w:rsidR="000D6C9F" w:rsidRPr="00D94EA9" w14:paraId="6BDDB9ED" w14:textId="1CE0D61C" w:rsidTr="000D6C9F">
        <w:trPr>
          <w:trHeight w:val="576"/>
          <w:jc w:val="center"/>
        </w:trPr>
        <w:tc>
          <w:tcPr>
            <w:tcW w:w="2880" w:type="dxa"/>
            <w:tcBorders>
              <w:left w:val="nil"/>
              <w:bottom w:val="single" w:sz="12" w:space="0" w:color="auto"/>
            </w:tcBorders>
            <w:vAlign w:val="center"/>
          </w:tcPr>
          <w:p w14:paraId="6441BAE2" w14:textId="77777777" w:rsidR="000D6C9F" w:rsidRPr="00CC3DDC" w:rsidRDefault="000D6C9F" w:rsidP="00D94EA9">
            <w:pPr>
              <w:spacing w:after="0"/>
              <w:rPr>
                <w:color w:val="000000"/>
              </w:rPr>
            </w:pPr>
            <w:r w:rsidRPr="00CC3DDC">
              <w:rPr>
                <w:color w:val="000000"/>
              </w:rPr>
              <w:t>Total implementation loss (worst-case)</w:t>
            </w:r>
          </w:p>
        </w:tc>
        <w:tc>
          <w:tcPr>
            <w:tcW w:w="720" w:type="dxa"/>
            <w:tcBorders>
              <w:bottom w:val="single" w:sz="12" w:space="0" w:color="auto"/>
            </w:tcBorders>
            <w:vAlign w:val="center"/>
          </w:tcPr>
          <w:p w14:paraId="48AB64B1" w14:textId="77777777" w:rsidR="000D6C9F" w:rsidRPr="00CC3DDC" w:rsidRDefault="000D6C9F" w:rsidP="00D94EA9">
            <w:pPr>
              <w:spacing w:after="0"/>
              <w:rPr>
                <w:color w:val="000000"/>
              </w:rPr>
            </w:pPr>
            <w:r w:rsidRPr="00CC3DDC">
              <w:rPr>
                <w:color w:val="000000"/>
              </w:rPr>
              <w:t>dB</w:t>
            </w:r>
          </w:p>
        </w:tc>
        <w:tc>
          <w:tcPr>
            <w:tcW w:w="1728" w:type="dxa"/>
            <w:tcBorders>
              <w:bottom w:val="single" w:sz="12" w:space="0" w:color="auto"/>
            </w:tcBorders>
            <w:vAlign w:val="center"/>
          </w:tcPr>
          <w:p w14:paraId="7242A60D" w14:textId="111720DB" w:rsidR="000D6C9F" w:rsidRPr="00CC3DDC" w:rsidRDefault="000D6C9F" w:rsidP="00244EE1">
            <w:pPr>
              <w:spacing w:after="0"/>
              <w:jc w:val="right"/>
              <w:rPr>
                <w:color w:val="000000"/>
              </w:rPr>
            </w:pPr>
            <w:r w:rsidRPr="00CC3DDC">
              <w:rPr>
                <w:color w:val="000000"/>
              </w:rPr>
              <w:t>-</w:t>
            </w:r>
            <w:r w:rsidR="009B7F1A" w:rsidRPr="00CC3DDC">
              <w:rPr>
                <w:color w:val="000000"/>
              </w:rPr>
              <w:t>6</w:t>
            </w:r>
            <w:r w:rsidRPr="00CC3DDC">
              <w:rPr>
                <w:color w:val="000000"/>
              </w:rPr>
              <w:t>.</w:t>
            </w:r>
            <w:r w:rsidR="00244EE1">
              <w:rPr>
                <w:color w:val="000000"/>
              </w:rPr>
              <w:t>5</w:t>
            </w:r>
            <w:r w:rsidRPr="00CC3DDC">
              <w:rPr>
                <w:color w:val="000000"/>
              </w:rPr>
              <w:t>0</w:t>
            </w:r>
          </w:p>
        </w:tc>
        <w:tc>
          <w:tcPr>
            <w:tcW w:w="1728" w:type="dxa"/>
            <w:tcBorders>
              <w:bottom w:val="single" w:sz="12" w:space="0" w:color="auto"/>
              <w:right w:val="nil"/>
            </w:tcBorders>
            <w:vAlign w:val="center"/>
          </w:tcPr>
          <w:p w14:paraId="01E93311" w14:textId="30E2FB31" w:rsidR="000D6C9F" w:rsidRPr="00CC3DDC" w:rsidRDefault="000D6C9F" w:rsidP="00244EE1">
            <w:pPr>
              <w:spacing w:after="0"/>
              <w:jc w:val="right"/>
              <w:rPr>
                <w:color w:val="000000"/>
              </w:rPr>
            </w:pPr>
            <w:r w:rsidRPr="00CC3DDC">
              <w:rPr>
                <w:color w:val="000000"/>
              </w:rPr>
              <w:t>-</w:t>
            </w:r>
            <w:r w:rsidR="00244EE1">
              <w:rPr>
                <w:color w:val="000000"/>
              </w:rPr>
              <w:t>8</w:t>
            </w:r>
            <w:r w:rsidRPr="00CC3DDC">
              <w:rPr>
                <w:color w:val="000000"/>
              </w:rPr>
              <w:t>.</w:t>
            </w:r>
            <w:r w:rsidR="00244EE1">
              <w:rPr>
                <w:color w:val="000000"/>
              </w:rPr>
              <w:t>0</w:t>
            </w:r>
            <w:r w:rsidRPr="00CC3DDC">
              <w:rPr>
                <w:color w:val="000000"/>
              </w:rPr>
              <w:t>0</w:t>
            </w:r>
          </w:p>
        </w:tc>
        <w:tc>
          <w:tcPr>
            <w:tcW w:w="2880" w:type="dxa"/>
            <w:tcBorders>
              <w:bottom w:val="single" w:sz="12" w:space="0" w:color="auto"/>
              <w:right w:val="nil"/>
            </w:tcBorders>
            <w:vAlign w:val="center"/>
          </w:tcPr>
          <w:p w14:paraId="7882B4F4" w14:textId="255C7713" w:rsidR="000D6C9F" w:rsidRPr="00CC3DDC" w:rsidRDefault="000D6C9F" w:rsidP="000D6C9F">
            <w:pPr>
              <w:spacing w:after="0"/>
              <w:rPr>
                <w:color w:val="000000"/>
              </w:rPr>
            </w:pPr>
          </w:p>
        </w:tc>
      </w:tr>
      <w:tr w:rsidR="000D6C9F" w:rsidRPr="00D94EA9" w14:paraId="03891701" w14:textId="4964EB1A" w:rsidTr="000D6C9F">
        <w:trPr>
          <w:trHeight w:val="360"/>
          <w:jc w:val="center"/>
        </w:trPr>
        <w:tc>
          <w:tcPr>
            <w:tcW w:w="2880" w:type="dxa"/>
            <w:tcBorders>
              <w:top w:val="single" w:sz="12" w:space="0" w:color="auto"/>
              <w:left w:val="nil"/>
              <w:bottom w:val="single" w:sz="4" w:space="0" w:color="auto"/>
            </w:tcBorders>
            <w:vAlign w:val="center"/>
          </w:tcPr>
          <w:p w14:paraId="34329D81" w14:textId="77777777" w:rsidR="000D6C9F" w:rsidRPr="006A107A" w:rsidRDefault="000D6C9F" w:rsidP="00D94EA9">
            <w:pPr>
              <w:spacing w:after="0"/>
              <w:rPr>
                <w:b/>
                <w:bCs/>
                <w:color w:val="000000"/>
              </w:rPr>
            </w:pPr>
            <w:r w:rsidRPr="006A107A">
              <w:rPr>
                <w:b/>
                <w:bCs/>
                <w:color w:val="000000"/>
              </w:rPr>
              <w:t>Peak EIRP (Minimum)</w:t>
            </w:r>
          </w:p>
        </w:tc>
        <w:tc>
          <w:tcPr>
            <w:tcW w:w="720" w:type="dxa"/>
            <w:tcBorders>
              <w:top w:val="single" w:sz="12" w:space="0" w:color="auto"/>
              <w:bottom w:val="single" w:sz="4" w:space="0" w:color="auto"/>
            </w:tcBorders>
            <w:vAlign w:val="center"/>
          </w:tcPr>
          <w:p w14:paraId="14D120A1" w14:textId="77777777" w:rsidR="000D6C9F" w:rsidRPr="006A107A" w:rsidRDefault="000D6C9F" w:rsidP="00D94EA9">
            <w:pPr>
              <w:spacing w:after="0"/>
              <w:rPr>
                <w:color w:val="000000"/>
              </w:rPr>
            </w:pPr>
            <w:r w:rsidRPr="006A107A">
              <w:rPr>
                <w:color w:val="000000"/>
              </w:rPr>
              <w:t>dBm</w:t>
            </w:r>
          </w:p>
        </w:tc>
        <w:tc>
          <w:tcPr>
            <w:tcW w:w="1728" w:type="dxa"/>
            <w:tcBorders>
              <w:top w:val="single" w:sz="12" w:space="0" w:color="auto"/>
              <w:bottom w:val="single" w:sz="4" w:space="0" w:color="auto"/>
            </w:tcBorders>
            <w:vAlign w:val="center"/>
          </w:tcPr>
          <w:p w14:paraId="35DD6DE5" w14:textId="32736676" w:rsidR="000D6C9F" w:rsidRPr="006A107A" w:rsidRDefault="000D6C9F" w:rsidP="002375DA">
            <w:pPr>
              <w:spacing w:after="0"/>
              <w:jc w:val="right"/>
              <w:rPr>
                <w:b/>
                <w:bCs/>
                <w:color w:val="000000"/>
              </w:rPr>
            </w:pPr>
            <w:r w:rsidRPr="006A107A">
              <w:rPr>
                <w:b/>
                <w:bCs/>
                <w:color w:val="000000"/>
              </w:rPr>
              <w:t>3</w:t>
            </w:r>
            <w:r w:rsidR="002375DA" w:rsidRPr="006A107A">
              <w:rPr>
                <w:b/>
                <w:bCs/>
                <w:color w:val="000000"/>
              </w:rPr>
              <w:t>6</w:t>
            </w:r>
            <w:r w:rsidRPr="006A107A">
              <w:rPr>
                <w:b/>
                <w:bCs/>
                <w:color w:val="000000"/>
              </w:rPr>
              <w:t>.</w:t>
            </w:r>
            <w:r w:rsidR="006E3141" w:rsidRPr="006A107A">
              <w:rPr>
                <w:b/>
                <w:bCs/>
                <w:color w:val="000000"/>
              </w:rPr>
              <w:t>3</w:t>
            </w:r>
            <w:r w:rsidRPr="006A107A">
              <w:rPr>
                <w:b/>
                <w:bCs/>
                <w:color w:val="000000"/>
              </w:rPr>
              <w:t>0</w:t>
            </w:r>
          </w:p>
        </w:tc>
        <w:tc>
          <w:tcPr>
            <w:tcW w:w="1728" w:type="dxa"/>
            <w:tcBorders>
              <w:top w:val="single" w:sz="12" w:space="0" w:color="auto"/>
              <w:bottom w:val="single" w:sz="4" w:space="0" w:color="auto"/>
              <w:right w:val="nil"/>
            </w:tcBorders>
            <w:vAlign w:val="center"/>
          </w:tcPr>
          <w:p w14:paraId="0ACDC6E2" w14:textId="1A2ECA88" w:rsidR="000D6C9F" w:rsidRPr="006A107A" w:rsidRDefault="000D6C9F" w:rsidP="002375DA">
            <w:pPr>
              <w:spacing w:after="0"/>
              <w:jc w:val="right"/>
              <w:rPr>
                <w:b/>
                <w:bCs/>
                <w:color w:val="000000"/>
              </w:rPr>
            </w:pPr>
            <w:r w:rsidRPr="006A107A">
              <w:rPr>
                <w:b/>
                <w:bCs/>
                <w:color w:val="000000"/>
              </w:rPr>
              <w:t>3</w:t>
            </w:r>
            <w:r w:rsidR="002375DA" w:rsidRPr="006A107A">
              <w:rPr>
                <w:b/>
                <w:bCs/>
                <w:color w:val="000000"/>
              </w:rPr>
              <w:t>4</w:t>
            </w:r>
            <w:r w:rsidRPr="006A107A">
              <w:rPr>
                <w:b/>
                <w:bCs/>
                <w:color w:val="000000"/>
              </w:rPr>
              <w:t>.</w:t>
            </w:r>
            <w:r w:rsidR="009B7F1A" w:rsidRPr="006A107A">
              <w:rPr>
                <w:b/>
                <w:bCs/>
                <w:color w:val="000000"/>
              </w:rPr>
              <w:t>3</w:t>
            </w:r>
            <w:r w:rsidRPr="006A107A">
              <w:rPr>
                <w:b/>
                <w:bCs/>
                <w:color w:val="000000"/>
              </w:rPr>
              <w:t>0</w:t>
            </w:r>
          </w:p>
        </w:tc>
        <w:tc>
          <w:tcPr>
            <w:tcW w:w="2880" w:type="dxa"/>
            <w:tcBorders>
              <w:top w:val="single" w:sz="12" w:space="0" w:color="auto"/>
              <w:bottom w:val="single" w:sz="4" w:space="0" w:color="auto"/>
              <w:right w:val="nil"/>
            </w:tcBorders>
            <w:vAlign w:val="center"/>
          </w:tcPr>
          <w:p w14:paraId="3F9C2507" w14:textId="77777777" w:rsidR="000D6C9F" w:rsidRPr="00D94EA9" w:rsidRDefault="000D6C9F" w:rsidP="000D6C9F">
            <w:pPr>
              <w:spacing w:after="0"/>
              <w:rPr>
                <w:b/>
                <w:bCs/>
                <w:color w:val="000000"/>
              </w:rPr>
            </w:pPr>
          </w:p>
        </w:tc>
      </w:tr>
    </w:tbl>
    <w:p w14:paraId="4D639611" w14:textId="77777777" w:rsidR="00D94EA9" w:rsidRDefault="00D94EA9" w:rsidP="000C16A6">
      <w:pPr>
        <w:pStyle w:val="ListParagraph"/>
        <w:overflowPunct/>
        <w:autoSpaceDE/>
        <w:autoSpaceDN/>
        <w:adjustRightInd/>
        <w:spacing w:after="0"/>
        <w:ind w:left="0"/>
        <w:textAlignment w:val="auto"/>
        <w:rPr>
          <w:b/>
        </w:rPr>
      </w:pPr>
    </w:p>
    <w:p w14:paraId="55EBACA9" w14:textId="77777777" w:rsidR="000D6C9F" w:rsidRDefault="000D6C9F" w:rsidP="000D6C9F">
      <w:pPr>
        <w:pStyle w:val="ListParagraph"/>
        <w:overflowPunct/>
        <w:autoSpaceDE/>
        <w:autoSpaceDN/>
        <w:adjustRightInd/>
        <w:spacing w:before="360" w:after="0"/>
        <w:ind w:left="0"/>
        <w:textAlignment w:val="auto"/>
      </w:pPr>
    </w:p>
    <w:p w14:paraId="662EC0E6" w14:textId="634FCF8F" w:rsidR="006B0D5D" w:rsidRDefault="00F43AE8" w:rsidP="000D6C9F">
      <w:pPr>
        <w:pStyle w:val="ListParagraph"/>
        <w:overflowPunct/>
        <w:autoSpaceDE/>
        <w:autoSpaceDN/>
        <w:adjustRightInd/>
        <w:spacing w:before="360" w:after="0"/>
        <w:ind w:left="0"/>
        <w:textAlignment w:val="auto"/>
      </w:pPr>
      <w:r>
        <w:t xml:space="preserve">The </w:t>
      </w:r>
      <w:r w:rsidR="00891B9F">
        <w:t xml:space="preserve">FWA </w:t>
      </w:r>
      <w:r w:rsidR="00F6458C">
        <w:t>example</w:t>
      </w:r>
      <w:r w:rsidR="00CC2C17">
        <w:t xml:space="preserve"> </w:t>
      </w:r>
      <w:r w:rsidR="00F6458C">
        <w:t>i</w:t>
      </w:r>
      <w:r>
        <w:t xml:space="preserve">n Table 1 </w:t>
      </w:r>
      <w:r w:rsidR="00F6458C">
        <w:t>is for</w:t>
      </w:r>
      <w:r w:rsidR="00E50CFC">
        <w:t xml:space="preserve"> a different use case than handheld devices</w:t>
      </w:r>
      <w:r w:rsidR="00CC2C17">
        <w:t xml:space="preserve">. </w:t>
      </w:r>
      <w:r w:rsidR="006A6383">
        <w:t xml:space="preserve">The </w:t>
      </w:r>
      <w:r w:rsidR="00CC2C17">
        <w:t>higher power</w:t>
      </w:r>
      <w:r w:rsidR="006A6383">
        <w:t xml:space="preserve"> expected from </w:t>
      </w:r>
      <w:r w:rsidR="00CC2C17">
        <w:t>these</w:t>
      </w:r>
      <w:r w:rsidR="006A6383">
        <w:t xml:space="preserve"> devices </w:t>
      </w:r>
      <w:r w:rsidR="00CC2C17">
        <w:t>is</w:t>
      </w:r>
      <w:r w:rsidR="006A6383">
        <w:t xml:space="preserve"> </w:t>
      </w:r>
      <w:r w:rsidR="00CC2C17">
        <w:t xml:space="preserve">possible in </w:t>
      </w:r>
      <w:r w:rsidR="006A6383">
        <w:t xml:space="preserve">great part to their larger form-factor. This enables </w:t>
      </w:r>
      <w:r w:rsidR="000D6C9F">
        <w:t xml:space="preserve">different architecture implementations with </w:t>
      </w:r>
      <w:r w:rsidR="006A6383">
        <w:t xml:space="preserve">more antenna </w:t>
      </w:r>
      <w:r w:rsidR="00C538DD">
        <w:t>elements in the array (</w:t>
      </w:r>
      <w:r w:rsidR="006A6383">
        <w:t>larger gain)</w:t>
      </w:r>
      <w:r w:rsidR="000D6C9F">
        <w:t xml:space="preserve"> and </w:t>
      </w:r>
      <w:r w:rsidR="006A6383">
        <w:t>allows</w:t>
      </w:r>
      <w:r w:rsidR="000D6C9F">
        <w:t xml:space="preserve"> for</w:t>
      </w:r>
      <w:r w:rsidR="006A6383">
        <w:t xml:space="preserve"> </w:t>
      </w:r>
      <w:r w:rsidR="000D6C9F">
        <w:t>greater separation</w:t>
      </w:r>
      <w:r w:rsidR="006A6383">
        <w:t xml:space="preserve"> </w:t>
      </w:r>
      <w:r>
        <w:t>between sensitive RF components</w:t>
      </w:r>
      <w:r w:rsidR="000D6C9F">
        <w:t xml:space="preserve"> and</w:t>
      </w:r>
      <w:r w:rsidR="006A6383">
        <w:t xml:space="preserve"> high dielectric constant/lossy materials a</w:t>
      </w:r>
      <w:r w:rsidR="00C87E80">
        <w:t>nd reflector</w:t>
      </w:r>
      <w:r w:rsidR="00C538DD">
        <w:t>s</w:t>
      </w:r>
      <w:r w:rsidR="006A6383">
        <w:t xml:space="preserve"> that may </w:t>
      </w:r>
      <w:r w:rsidR="000D6C9F">
        <w:t xml:space="preserve">otherwise </w:t>
      </w:r>
      <w:r w:rsidR="006A6383">
        <w:t xml:space="preserve">affect radiation. The larger size also makes the overall integration easier and </w:t>
      </w:r>
      <w:r w:rsidR="00C538DD">
        <w:t>reduces the</w:t>
      </w:r>
      <w:r w:rsidR="00F6458C">
        <w:t xml:space="preserve"> implementation</w:t>
      </w:r>
      <w:r w:rsidR="006A6383">
        <w:t xml:space="preserve"> losses. These differences are captured in the number of antennas, total conducted power and total implementation loss parameters. Compared to our handheld numbers, the number of antennas increased </w:t>
      </w:r>
      <w:r w:rsidR="00F6458C">
        <w:t xml:space="preserve">from 4 </w:t>
      </w:r>
      <w:r w:rsidR="006A6383">
        <w:t>to 16,</w:t>
      </w:r>
      <w:r w:rsidR="00C538DD">
        <w:t xml:space="preserve"> thus</w:t>
      </w:r>
      <w:r w:rsidR="006A6383">
        <w:t xml:space="preserve"> </w:t>
      </w:r>
      <w:r w:rsidR="00C87E80">
        <w:t>increasing</w:t>
      </w:r>
      <w:r w:rsidR="006A6383">
        <w:t xml:space="preserve"> the total conducted power </w:t>
      </w:r>
      <w:r w:rsidR="00C538DD">
        <w:t>by</w:t>
      </w:r>
      <w:r w:rsidR="00C87E80">
        <w:t xml:space="preserve"> 6 dB.</w:t>
      </w:r>
      <w:r w:rsidR="000D6C9F">
        <w:t xml:space="preserve"> Th</w:t>
      </w:r>
      <w:r>
        <w:t xml:space="preserve">e overall implementation loss parameter has been reduced from the handheld number, </w:t>
      </w:r>
      <w:r w:rsidR="00C87E80">
        <w:t xml:space="preserve">highlighting the integration challenges </w:t>
      </w:r>
      <w:r w:rsidR="00C538DD">
        <w:t xml:space="preserve">of </w:t>
      </w:r>
      <w:r w:rsidR="00C87E80">
        <w:t>smaller form-factors</w:t>
      </w:r>
      <w:r w:rsidR="000D6C9F">
        <w:t xml:space="preserve">. </w:t>
      </w:r>
    </w:p>
    <w:p w14:paraId="01736E19" w14:textId="77777777" w:rsidR="006B0D5D" w:rsidRDefault="006B0D5D" w:rsidP="000D6C9F">
      <w:pPr>
        <w:pStyle w:val="ListParagraph"/>
        <w:overflowPunct/>
        <w:autoSpaceDE/>
        <w:autoSpaceDN/>
        <w:adjustRightInd/>
        <w:spacing w:before="360" w:after="0"/>
        <w:ind w:left="0"/>
        <w:textAlignment w:val="auto"/>
      </w:pPr>
    </w:p>
    <w:p w14:paraId="55308B23" w14:textId="73F4509B" w:rsidR="00CE07F5" w:rsidRDefault="00F43AE8" w:rsidP="000D6C9F">
      <w:pPr>
        <w:pStyle w:val="ListParagraph"/>
        <w:overflowPunct/>
        <w:autoSpaceDE/>
        <w:autoSpaceDN/>
        <w:adjustRightInd/>
        <w:spacing w:before="360" w:after="0"/>
        <w:ind w:left="0"/>
        <w:textAlignment w:val="auto"/>
      </w:pPr>
      <w:r>
        <w:t xml:space="preserve">Factoring </w:t>
      </w:r>
      <w:r w:rsidR="00CE07F5">
        <w:t>all these changes</w:t>
      </w:r>
      <w:r w:rsidR="006B0D5D">
        <w:t xml:space="preserve"> in the link budget</w:t>
      </w:r>
      <w:r w:rsidR="00F6458C">
        <w:t xml:space="preserve"> yields</w:t>
      </w:r>
      <w:r>
        <w:t xml:space="preserve"> a</w:t>
      </w:r>
      <w:r w:rsidR="00CE07F5">
        <w:t xml:space="preserve"> minimum peak EIRP</w:t>
      </w:r>
      <w:r w:rsidR="003922FE">
        <w:t xml:space="preserve"> </w:t>
      </w:r>
      <w:r w:rsidR="006B0D5D">
        <w:t>of</w:t>
      </w:r>
      <w:r w:rsidR="003922FE">
        <w:t xml:space="preserve"> 3</w:t>
      </w:r>
      <w:r w:rsidR="00244EE1">
        <w:t>6</w:t>
      </w:r>
      <w:r w:rsidR="003922FE">
        <w:t>.</w:t>
      </w:r>
      <w:r>
        <w:t>3</w:t>
      </w:r>
      <w:r w:rsidR="003922FE">
        <w:t>0 dBm for 28</w:t>
      </w:r>
      <w:r>
        <w:t xml:space="preserve"> </w:t>
      </w:r>
      <w:r w:rsidR="003922FE">
        <w:t>GHz, and 3</w:t>
      </w:r>
      <w:r w:rsidR="00244EE1">
        <w:t>4</w:t>
      </w:r>
      <w:r w:rsidR="003922FE">
        <w:t>.</w:t>
      </w:r>
      <w:r>
        <w:t>3</w:t>
      </w:r>
      <w:r w:rsidR="003922FE">
        <w:t>0 dBm for 39</w:t>
      </w:r>
      <w:r>
        <w:t xml:space="preserve"> </w:t>
      </w:r>
      <w:r w:rsidR="003922FE">
        <w:t>GHz</w:t>
      </w:r>
      <w:r w:rsidR="00C538DD">
        <w:t>. These numbers correspond to a</w:t>
      </w:r>
      <w:r w:rsidR="00A66AEA">
        <w:t xml:space="preserve"> </w:t>
      </w:r>
      <w:r>
        <w:t xml:space="preserve">minimum </w:t>
      </w:r>
      <w:r w:rsidR="00C538DD">
        <w:t xml:space="preserve">peak EIRP increase of </w:t>
      </w:r>
      <w:r w:rsidR="008624CC">
        <w:t>over</w:t>
      </w:r>
      <w:r w:rsidR="00A66AEA">
        <w:t xml:space="preserve"> 1</w:t>
      </w:r>
      <w:r>
        <w:t>5</w:t>
      </w:r>
      <w:r w:rsidR="00A66AEA">
        <w:t xml:space="preserve"> dB </w:t>
      </w:r>
      <w:r w:rsidR="00C538DD">
        <w:t>compared to</w:t>
      </w:r>
      <w:r w:rsidR="00A66AEA">
        <w:t xml:space="preserve"> </w:t>
      </w:r>
      <w:r w:rsidR="00296C7C">
        <w:t>our numbers</w:t>
      </w:r>
      <w:r w:rsidR="00A66AEA">
        <w:t xml:space="preserve"> for handheld devices (2</w:t>
      </w:r>
      <w:r w:rsidR="00296C7C">
        <w:t>0</w:t>
      </w:r>
      <w:r w:rsidR="00A66AEA">
        <w:t>.2 dBm for 28</w:t>
      </w:r>
      <w:r>
        <w:t xml:space="preserve"> </w:t>
      </w:r>
      <w:r w:rsidR="00A66AEA">
        <w:t xml:space="preserve">GHz, </w:t>
      </w:r>
      <w:r w:rsidR="00296C7C">
        <w:t>18</w:t>
      </w:r>
      <w:r w:rsidR="00A66AEA">
        <w:t>.</w:t>
      </w:r>
      <w:r w:rsidR="00296C7C">
        <w:t>4</w:t>
      </w:r>
      <w:r w:rsidR="00A53F9B">
        <w:t xml:space="preserve"> dBm</w:t>
      </w:r>
      <w:r w:rsidR="00A66AEA">
        <w:t xml:space="preserve"> for 39</w:t>
      </w:r>
      <w:r>
        <w:t xml:space="preserve"> </w:t>
      </w:r>
      <w:r w:rsidR="00A66AEA">
        <w:t xml:space="preserve">GHz). </w:t>
      </w:r>
    </w:p>
    <w:p w14:paraId="0E6B7AFC" w14:textId="77777777" w:rsidR="00CE07F5" w:rsidRDefault="00CE07F5" w:rsidP="000D6C9F">
      <w:pPr>
        <w:pStyle w:val="ListParagraph"/>
        <w:overflowPunct/>
        <w:autoSpaceDE/>
        <w:autoSpaceDN/>
        <w:adjustRightInd/>
        <w:spacing w:before="360" w:after="0"/>
        <w:ind w:left="0"/>
        <w:textAlignment w:val="auto"/>
      </w:pPr>
    </w:p>
    <w:p w14:paraId="4897EC4C" w14:textId="3D4BE608" w:rsidR="00A66AEA" w:rsidRDefault="00A66AEA" w:rsidP="000D6C9F">
      <w:pPr>
        <w:pStyle w:val="ListParagraph"/>
        <w:overflowPunct/>
        <w:autoSpaceDE/>
        <w:autoSpaceDN/>
        <w:adjustRightInd/>
        <w:spacing w:before="360" w:after="0"/>
        <w:ind w:left="0"/>
        <w:textAlignment w:val="auto"/>
      </w:pPr>
      <w:r w:rsidRPr="000C16A6">
        <w:rPr>
          <w:b/>
        </w:rPr>
        <w:t xml:space="preserve">Observation </w:t>
      </w:r>
      <w:r>
        <w:rPr>
          <w:b/>
        </w:rPr>
        <w:t>3</w:t>
      </w:r>
      <w:r w:rsidRPr="000C16A6">
        <w:rPr>
          <w:b/>
        </w:rPr>
        <w:t>:</w:t>
      </w:r>
      <w:r w:rsidRPr="000C16A6">
        <w:t xml:space="preserve"> </w:t>
      </w:r>
      <w:r w:rsidR="00A547BF">
        <w:t>The example</w:t>
      </w:r>
      <w:r>
        <w:t xml:space="preserve"> minimum peak EIRP calculations for FWA devices </w:t>
      </w:r>
      <w:r w:rsidR="009F606B">
        <w:t>o</w:t>
      </w:r>
      <w:r w:rsidR="00343A38">
        <w:t xml:space="preserve">n a </w:t>
      </w:r>
      <w:r w:rsidR="009F606B">
        <w:rPr>
          <w:i/>
        </w:rPr>
        <w:t>stationary</w:t>
      </w:r>
      <w:r w:rsidR="00343A38">
        <w:t xml:space="preserve"> platform </w:t>
      </w:r>
      <w:r>
        <w:t xml:space="preserve">yield </w:t>
      </w:r>
      <w:r w:rsidR="00A1433C">
        <w:t>3</w:t>
      </w:r>
      <w:r w:rsidR="00244EE1">
        <w:t>6</w:t>
      </w:r>
      <w:r w:rsidR="00A1433C">
        <w:t>.</w:t>
      </w:r>
      <w:r w:rsidR="00F43AE8">
        <w:t>3</w:t>
      </w:r>
      <w:r w:rsidR="000031D6">
        <w:t>0</w:t>
      </w:r>
      <w:r w:rsidR="00A1433C">
        <w:t xml:space="preserve"> dBm for 28GHz, and 3</w:t>
      </w:r>
      <w:r w:rsidR="00244EE1">
        <w:t>4</w:t>
      </w:r>
      <w:r w:rsidR="00A1433C">
        <w:t>.</w:t>
      </w:r>
      <w:r w:rsidR="00F43AE8">
        <w:t>3</w:t>
      </w:r>
      <w:r w:rsidR="000031D6">
        <w:t>0</w:t>
      </w:r>
      <w:r w:rsidR="00A1433C">
        <w:t xml:space="preserve"> dBm for 39GHz. This represents </w:t>
      </w:r>
      <w:r w:rsidR="008624CC">
        <w:t>an increase of over</w:t>
      </w:r>
      <w:r>
        <w:t xml:space="preserve"> 1</w:t>
      </w:r>
      <w:r w:rsidR="00F43AE8">
        <w:t>5</w:t>
      </w:r>
      <w:r w:rsidR="00296C7C">
        <w:t xml:space="preserve"> dB </w:t>
      </w:r>
      <w:r w:rsidR="008624CC">
        <w:t>from</w:t>
      </w:r>
      <w:r>
        <w:t xml:space="preserve"> </w:t>
      </w:r>
      <w:r w:rsidR="00C55E51">
        <w:t xml:space="preserve">our </w:t>
      </w:r>
      <w:r>
        <w:t>handhel</w:t>
      </w:r>
      <w:r w:rsidR="00296C7C">
        <w:t>d device</w:t>
      </w:r>
      <w:r w:rsidR="00C55E51">
        <w:t xml:space="preserve"> values</w:t>
      </w:r>
      <w:r>
        <w:t>.</w:t>
      </w:r>
    </w:p>
    <w:p w14:paraId="4C59DF0D" w14:textId="77777777" w:rsidR="00CE07F5" w:rsidRDefault="00CE07F5" w:rsidP="000D6C9F">
      <w:pPr>
        <w:pStyle w:val="ListParagraph"/>
        <w:overflowPunct/>
        <w:autoSpaceDE/>
        <w:autoSpaceDN/>
        <w:adjustRightInd/>
        <w:spacing w:before="360" w:after="0"/>
        <w:ind w:left="0"/>
        <w:textAlignment w:val="auto"/>
      </w:pPr>
    </w:p>
    <w:p w14:paraId="4C2B606D" w14:textId="45A77A11" w:rsidR="005471D8" w:rsidRDefault="005471D8" w:rsidP="005471D8">
      <w:pPr>
        <w:pStyle w:val="ListParagraph"/>
        <w:overflowPunct/>
        <w:autoSpaceDE/>
        <w:autoSpaceDN/>
        <w:adjustRightInd/>
        <w:spacing w:before="360" w:after="0"/>
        <w:ind w:left="0"/>
        <w:textAlignment w:val="auto"/>
      </w:pPr>
      <w:r>
        <w:rPr>
          <w:b/>
        </w:rPr>
        <w:t>Proposal</w:t>
      </w:r>
      <w:r w:rsidRPr="000C16A6">
        <w:rPr>
          <w:b/>
        </w:rPr>
        <w:t xml:space="preserve"> </w:t>
      </w:r>
      <w:r w:rsidR="00537B67">
        <w:rPr>
          <w:b/>
        </w:rPr>
        <w:t>2</w:t>
      </w:r>
      <w:r w:rsidRPr="000C16A6">
        <w:rPr>
          <w:b/>
        </w:rPr>
        <w:t>:</w:t>
      </w:r>
      <w:r w:rsidRPr="000C16A6">
        <w:t xml:space="preserve"> </w:t>
      </w:r>
      <w:r w:rsidR="001064B8">
        <w:t>D</w:t>
      </w:r>
      <w:r>
        <w:t xml:space="preserve">efine </w:t>
      </w:r>
      <w:r w:rsidR="00F43AE8">
        <w:t xml:space="preserve">the </w:t>
      </w:r>
      <w:r>
        <w:t xml:space="preserve">minimum peak EIRP requirement for FWA </w:t>
      </w:r>
      <w:r w:rsidR="00F43AE8">
        <w:t xml:space="preserve">devices </w:t>
      </w:r>
      <w:r w:rsidR="009F606B">
        <w:t>o</w:t>
      </w:r>
      <w:r w:rsidR="00F43AE8">
        <w:t xml:space="preserve">n a </w:t>
      </w:r>
      <w:r w:rsidR="009F606B">
        <w:rPr>
          <w:i/>
        </w:rPr>
        <w:t>stationary</w:t>
      </w:r>
      <w:bookmarkStart w:id="0" w:name="_GoBack"/>
      <w:bookmarkEnd w:id="0"/>
      <w:r w:rsidR="00F43AE8">
        <w:t xml:space="preserve"> platform as 3</w:t>
      </w:r>
      <w:r w:rsidR="00244EE1">
        <w:t>6</w:t>
      </w:r>
      <w:r w:rsidR="00F43AE8">
        <w:t>.30 dBm for 28 GHz, and 3</w:t>
      </w:r>
      <w:r w:rsidR="00244EE1">
        <w:t>4</w:t>
      </w:r>
      <w:r w:rsidR="00F43AE8">
        <w:t>.30 dBm for 39 GHz.</w:t>
      </w:r>
    </w:p>
    <w:p w14:paraId="002FFDE1" w14:textId="77777777" w:rsidR="005471D8" w:rsidRDefault="005471D8" w:rsidP="000D6C9F">
      <w:pPr>
        <w:pStyle w:val="ListParagraph"/>
        <w:overflowPunct/>
        <w:autoSpaceDE/>
        <w:autoSpaceDN/>
        <w:adjustRightInd/>
        <w:spacing w:before="360" w:after="0"/>
        <w:ind w:left="0"/>
        <w:textAlignment w:val="auto"/>
      </w:pPr>
    </w:p>
    <w:p w14:paraId="5732515F" w14:textId="68C6E652" w:rsidR="009025DE" w:rsidRPr="00C538DD" w:rsidRDefault="00C538DD" w:rsidP="00C538DD">
      <w:pPr>
        <w:spacing w:after="0"/>
      </w:pPr>
      <w:r>
        <w:t>We need to be mindful of the</w:t>
      </w:r>
      <w:r w:rsidR="006B0D5D">
        <w:t xml:space="preserve"> potential </w:t>
      </w:r>
      <w:r>
        <w:t>impact the new FWA UE type may have on</w:t>
      </w:r>
      <w:r w:rsidR="006B0D5D">
        <w:t xml:space="preserve"> RAN4 requirements. </w:t>
      </w:r>
      <w:r>
        <w:t>T</w:t>
      </w:r>
      <w:r w:rsidR="006B0D5D">
        <w:t>here will certainly be implications on testability and spherical coverage</w:t>
      </w:r>
      <w:r w:rsidR="00DB12C8">
        <w:t xml:space="preserve"> studies</w:t>
      </w:r>
      <w:r>
        <w:t>, as measurements must now take into account the fixed nature of the device</w:t>
      </w:r>
      <w:r w:rsidR="00F6458C">
        <w:t>, use case</w:t>
      </w:r>
      <w:r>
        <w:t xml:space="preserve"> and typical surrounding materials</w:t>
      </w:r>
      <w:r w:rsidR="00261E3C">
        <w:t xml:space="preserve"> or environment</w:t>
      </w:r>
      <w:r>
        <w:t>. From a co-existence perspective, no additional work is needed as previous stud</w:t>
      </w:r>
      <w:r w:rsidR="00261E3C">
        <w:t xml:space="preserve">ies for +55dBm CPE have </w:t>
      </w:r>
      <w:r>
        <w:t>been concluded with no issues reported [</w:t>
      </w:r>
      <w:r w:rsidR="00F80A74">
        <w:t>1</w:t>
      </w:r>
      <w:r w:rsidR="008F5DD8">
        <w:t>1</w:t>
      </w:r>
      <w:r>
        <w:t>].</w:t>
      </w:r>
      <w:r w:rsidR="00F6458C">
        <w:t xml:space="preserve"> However, t</w:t>
      </w:r>
      <w:r w:rsidR="00DB12C8">
        <w:t xml:space="preserve">he impact on UE requirements </w:t>
      </w:r>
      <w:r w:rsidR="006B0D5D">
        <w:t>we have covered so far is not comprehensive</w:t>
      </w:r>
      <w:r w:rsidR="00DB12C8">
        <w:t>.</w:t>
      </w:r>
      <w:r w:rsidR="006B0D5D">
        <w:t xml:space="preserve"> </w:t>
      </w:r>
      <w:r w:rsidR="00DB12C8">
        <w:t>A</w:t>
      </w:r>
      <w:r w:rsidR="006B0D5D">
        <w:t>dditi</w:t>
      </w:r>
      <w:r w:rsidR="006B0D5D" w:rsidRPr="009025DE">
        <w:t>onal topics are not precluded from future discussions</w:t>
      </w:r>
      <w:r w:rsidR="000C3A6B">
        <w:t xml:space="preserve">, especially depending on the particular use case of the </w:t>
      </w:r>
      <w:r w:rsidR="00261E3C">
        <w:t xml:space="preserve">FWA </w:t>
      </w:r>
      <w:r w:rsidR="000C3A6B">
        <w:t>device</w:t>
      </w:r>
      <w:r w:rsidR="006B0D5D" w:rsidRPr="009025DE">
        <w:t>.</w:t>
      </w:r>
      <w:r w:rsidR="009025DE" w:rsidRPr="009025DE">
        <w:t xml:space="preserve"> </w:t>
      </w:r>
      <w:r w:rsidR="00261E3C">
        <w:t xml:space="preserve">This is why we </w:t>
      </w:r>
      <w:r w:rsidR="00261E3C">
        <w:lastRenderedPageBreak/>
        <w:t xml:space="preserve">need to agree on how to approach the definition and classification of FWA devices. </w:t>
      </w:r>
      <w:r w:rsidR="009025DE" w:rsidRPr="009025DE">
        <w:t xml:space="preserve">It is also important to note that there may be required features for handheld devices that can be made </w:t>
      </w:r>
      <w:r w:rsidR="009025DE" w:rsidRPr="000C3A6B">
        <w:rPr>
          <w:i/>
        </w:rPr>
        <w:t>optional</w:t>
      </w:r>
      <w:r w:rsidR="009025DE" w:rsidRPr="009025DE">
        <w:t xml:space="preserve"> for FWA devices. These need to be discussed</w:t>
      </w:r>
      <w:r>
        <w:t>, agreed</w:t>
      </w:r>
      <w:r w:rsidR="009025DE" w:rsidRPr="009025DE">
        <w:t xml:space="preserve"> and documented.</w:t>
      </w:r>
    </w:p>
    <w:p w14:paraId="63246C06" w14:textId="455B35F8" w:rsidR="006B0D5D" w:rsidRDefault="006B0D5D" w:rsidP="009025DE">
      <w:pPr>
        <w:spacing w:after="0"/>
      </w:pPr>
    </w:p>
    <w:p w14:paraId="7D582901" w14:textId="264C88DB" w:rsidR="008A4F0B" w:rsidRDefault="006B0D5D" w:rsidP="009025DE">
      <w:pPr>
        <w:spacing w:after="0"/>
      </w:pPr>
      <w:r w:rsidRPr="002A1606">
        <w:rPr>
          <w:b/>
        </w:rPr>
        <w:t>Observation</w:t>
      </w:r>
      <w:r>
        <w:rPr>
          <w:b/>
        </w:rPr>
        <w:t xml:space="preserve"> 4</w:t>
      </w:r>
      <w:r w:rsidRPr="002A1606">
        <w:rPr>
          <w:b/>
        </w:rPr>
        <w:t>:</w:t>
      </w:r>
      <w:r w:rsidRPr="000C16A6">
        <w:t xml:space="preserve"> </w:t>
      </w:r>
      <w:r>
        <w:t xml:space="preserve">Companies are </w:t>
      </w:r>
      <w:r w:rsidRPr="000C16A6">
        <w:t>encourage</w:t>
      </w:r>
      <w:r>
        <w:t>d</w:t>
      </w:r>
      <w:r w:rsidRPr="000C16A6">
        <w:t xml:space="preserve"> to include additional </w:t>
      </w:r>
      <w:r>
        <w:t>topics</w:t>
      </w:r>
      <w:r w:rsidRPr="000C16A6">
        <w:t xml:space="preserve"> of interest</w:t>
      </w:r>
      <w:r>
        <w:t xml:space="preserve"> </w:t>
      </w:r>
      <w:r w:rsidR="00B07B97">
        <w:t>that may impact</w:t>
      </w:r>
      <w:r w:rsidR="00DB12C8">
        <w:t xml:space="preserve"> FWA requirements</w:t>
      </w:r>
      <w:r>
        <w:t xml:space="preserve"> </w:t>
      </w:r>
      <w:r w:rsidR="00DB12C8">
        <w:t xml:space="preserve">for </w:t>
      </w:r>
      <w:r>
        <w:t>discuss</w:t>
      </w:r>
      <w:r w:rsidR="00DB12C8">
        <w:t xml:space="preserve">ion in </w:t>
      </w:r>
      <w:r w:rsidR="00B07B97">
        <w:t>upcoming</w:t>
      </w:r>
      <w:r w:rsidR="000C3A6B">
        <w:t xml:space="preserve"> meeting</w:t>
      </w:r>
      <w:r w:rsidR="00F6458C">
        <w:t>s</w:t>
      </w:r>
      <w:r>
        <w:t>.</w:t>
      </w:r>
    </w:p>
    <w:p w14:paraId="3ABACD75" w14:textId="77777777" w:rsidR="009025DE" w:rsidRDefault="009025DE" w:rsidP="009025DE">
      <w:pPr>
        <w:spacing w:after="0"/>
        <w:rPr>
          <w:b/>
        </w:rPr>
      </w:pPr>
    </w:p>
    <w:p w14:paraId="44FB17BF" w14:textId="77FF95E7" w:rsidR="000C16A6" w:rsidRPr="000C16A6" w:rsidRDefault="00537B67" w:rsidP="009025DE">
      <w:pPr>
        <w:spacing w:after="0"/>
        <w:rPr>
          <w:rFonts w:eastAsia="Batang"/>
        </w:rPr>
      </w:pPr>
      <w:r>
        <w:rPr>
          <w:b/>
        </w:rPr>
        <w:t>Proposal 3</w:t>
      </w:r>
      <w:r w:rsidR="000C16A6" w:rsidRPr="000C16A6">
        <w:rPr>
          <w:b/>
        </w:rPr>
        <w:t>:</w:t>
      </w:r>
      <w:r w:rsidR="00BC24B9">
        <w:t xml:space="preserve"> We should r</w:t>
      </w:r>
      <w:r w:rsidR="000C16A6" w:rsidRPr="000C16A6">
        <w:t>evisit</w:t>
      </w:r>
      <w:r w:rsidR="00C538DD">
        <w:t xml:space="preserve"> </w:t>
      </w:r>
      <w:r w:rsidR="00BC24B9">
        <w:t xml:space="preserve">the </w:t>
      </w:r>
      <w:r w:rsidR="00C538DD">
        <w:t xml:space="preserve">required handheld </w:t>
      </w:r>
      <w:r w:rsidR="009E4A31">
        <w:t xml:space="preserve">device </w:t>
      </w:r>
      <w:r w:rsidR="00C538DD">
        <w:t>features</w:t>
      </w:r>
      <w:r w:rsidR="000C16A6" w:rsidRPr="000C16A6">
        <w:t xml:space="preserve"> </w:t>
      </w:r>
      <w:r w:rsidR="00A510A7">
        <w:t xml:space="preserve">and determine which </w:t>
      </w:r>
      <w:r w:rsidR="00C538DD">
        <w:t>one</w:t>
      </w:r>
      <w:r w:rsidR="00BC24B9">
        <w:t>s</w:t>
      </w:r>
      <w:r w:rsidR="000C16A6" w:rsidRPr="000C16A6">
        <w:t xml:space="preserve"> </w:t>
      </w:r>
      <w:r w:rsidR="00A510A7">
        <w:t>can</w:t>
      </w:r>
      <w:r w:rsidR="000C16A6" w:rsidRPr="000C16A6">
        <w:t xml:space="preserve"> be defined as optional capabilities for </w:t>
      </w:r>
      <w:r w:rsidR="00A510A7">
        <w:t>FWA</w:t>
      </w:r>
      <w:r w:rsidR="00C538DD">
        <w:t xml:space="preserve"> devices</w:t>
      </w:r>
      <w:r w:rsidR="00A510A7">
        <w:t>.</w:t>
      </w:r>
    </w:p>
    <w:p w14:paraId="6DF0161C" w14:textId="77777777" w:rsidR="000C16A6" w:rsidRDefault="000C16A6" w:rsidP="00350667">
      <w:pPr>
        <w:rPr>
          <w:rFonts w:eastAsia="Batang"/>
          <w:b/>
        </w:rPr>
      </w:pPr>
    </w:p>
    <w:p w14:paraId="776C9A64" w14:textId="77777777" w:rsidR="002B76F4" w:rsidRDefault="002B76F4" w:rsidP="002B76F4">
      <w:pPr>
        <w:pStyle w:val="Heading1"/>
        <w:rPr>
          <w:rFonts w:eastAsia="Batang"/>
        </w:rPr>
      </w:pPr>
      <w:r>
        <w:rPr>
          <w:rFonts w:eastAsia="Batang"/>
        </w:rPr>
        <w:t>3</w:t>
      </w:r>
      <w:r>
        <w:rPr>
          <w:rFonts w:eastAsia="Batang"/>
        </w:rPr>
        <w:tab/>
        <w:t>Conclusions</w:t>
      </w:r>
    </w:p>
    <w:p w14:paraId="1C6BD67B" w14:textId="3D145F4E" w:rsidR="002B76F4" w:rsidRDefault="008A2E4E" w:rsidP="002B76F4">
      <w:pPr>
        <w:spacing w:after="0"/>
        <w:rPr>
          <w:rFonts w:eastAsia="Batang"/>
        </w:rPr>
      </w:pPr>
      <w:r>
        <w:rPr>
          <w:rFonts w:eastAsia="Batang"/>
        </w:rPr>
        <w:t>In t</w:t>
      </w:r>
      <w:r w:rsidR="002B76F4">
        <w:rPr>
          <w:rFonts w:eastAsia="Batang"/>
        </w:rPr>
        <w:t xml:space="preserve">his paper </w:t>
      </w:r>
      <w:r>
        <w:rPr>
          <w:rFonts w:eastAsia="Batang"/>
        </w:rPr>
        <w:t xml:space="preserve">we </w:t>
      </w:r>
      <w:r w:rsidR="002B76F4">
        <w:rPr>
          <w:rFonts w:eastAsia="Batang"/>
        </w:rPr>
        <w:t>d</w:t>
      </w:r>
      <w:r>
        <w:rPr>
          <w:rFonts w:eastAsia="Batang"/>
        </w:rPr>
        <w:t>etaile</w:t>
      </w:r>
      <w:r w:rsidR="0075559E">
        <w:rPr>
          <w:rFonts w:eastAsia="Batang"/>
        </w:rPr>
        <w:t>d</w:t>
      </w:r>
      <w:r w:rsidR="002B76F4">
        <w:rPr>
          <w:rFonts w:eastAsia="Batang"/>
        </w:rPr>
        <w:t xml:space="preserve"> our </w:t>
      </w:r>
      <w:r>
        <w:rPr>
          <w:rFonts w:eastAsia="Batang"/>
        </w:rPr>
        <w:t>views</w:t>
      </w:r>
      <w:r w:rsidR="002B76F4">
        <w:rPr>
          <w:rFonts w:eastAsia="Batang"/>
        </w:rPr>
        <w:t xml:space="preserve"> on </w:t>
      </w:r>
      <w:r w:rsidR="0075559E">
        <w:rPr>
          <w:rFonts w:eastAsia="Batang"/>
        </w:rPr>
        <w:t xml:space="preserve">how to </w:t>
      </w:r>
      <w:r>
        <w:rPr>
          <w:rFonts w:eastAsia="Batang"/>
        </w:rPr>
        <w:t xml:space="preserve">address introducing new power class UE types. Focusing on FWA devices, we discussed a parameters table to be use as an alignment tool, along with preliminary results for peak EIRP. </w:t>
      </w:r>
      <w:r w:rsidR="002B76F4">
        <w:rPr>
          <w:rFonts w:eastAsia="Batang"/>
        </w:rPr>
        <w:t>The following observations and proposals have been made:</w:t>
      </w:r>
    </w:p>
    <w:p w14:paraId="700FF2BD" w14:textId="77777777" w:rsidR="002B76F4" w:rsidRDefault="002B76F4" w:rsidP="002B76F4">
      <w:pPr>
        <w:spacing w:after="0"/>
        <w:rPr>
          <w:rFonts w:eastAsia="Batang"/>
        </w:rPr>
      </w:pPr>
    </w:p>
    <w:p w14:paraId="0EE30E20" w14:textId="4C77D7A4" w:rsidR="002938BB" w:rsidRPr="00B401A4" w:rsidRDefault="002938BB" w:rsidP="002938BB">
      <w:pPr>
        <w:spacing w:after="0"/>
      </w:pPr>
      <w:r w:rsidRPr="00B401A4">
        <w:rPr>
          <w:b/>
        </w:rPr>
        <w:t>Observation 1:</w:t>
      </w:r>
      <w:r w:rsidRPr="00B401A4">
        <w:t xml:space="preserve"> Having separate device type requirements can help bridge the gap in the expected </w:t>
      </w:r>
      <w:r w:rsidR="00F6458C" w:rsidRPr="00B401A4">
        <w:t xml:space="preserve">minimum </w:t>
      </w:r>
      <w:r w:rsidRPr="00B401A4">
        <w:t>requirements peak EIRP.</w:t>
      </w:r>
    </w:p>
    <w:p w14:paraId="2D703DE9" w14:textId="77777777" w:rsidR="00AF64CF" w:rsidRDefault="00AF64CF" w:rsidP="002B76F4">
      <w:pPr>
        <w:spacing w:after="0"/>
        <w:rPr>
          <w:rFonts w:eastAsia="Batang"/>
          <w:b/>
        </w:rPr>
      </w:pPr>
    </w:p>
    <w:p w14:paraId="2E40C142" w14:textId="02D87167" w:rsidR="00BE29E6" w:rsidRDefault="00891B9F" w:rsidP="00BE29E6">
      <w:pPr>
        <w:spacing w:after="0"/>
        <w:rPr>
          <w:highlight w:val="yellow"/>
        </w:rPr>
      </w:pPr>
      <w:r w:rsidRPr="000C16A6">
        <w:rPr>
          <w:b/>
        </w:rPr>
        <w:t xml:space="preserve">Observation </w:t>
      </w:r>
      <w:r>
        <w:rPr>
          <w:b/>
        </w:rPr>
        <w:t>2</w:t>
      </w:r>
      <w:r w:rsidRPr="000C16A6">
        <w:rPr>
          <w:b/>
        </w:rPr>
        <w:t>:</w:t>
      </w:r>
      <w:r w:rsidRPr="000C16A6">
        <w:t xml:space="preserve"> </w:t>
      </w:r>
      <w:r>
        <w:t>The differences found in UE types that will support FR2 will be reflected in their achievable minimum peak EIRP values. A RAN4 discussion is needed to find the best way to divide power class based on these differences.</w:t>
      </w:r>
    </w:p>
    <w:p w14:paraId="0542C3F7" w14:textId="77777777" w:rsidR="00BE29E6" w:rsidRDefault="00BE29E6" w:rsidP="00BE29E6">
      <w:pPr>
        <w:spacing w:after="0"/>
        <w:rPr>
          <w:highlight w:val="yellow"/>
        </w:rPr>
      </w:pPr>
    </w:p>
    <w:p w14:paraId="321250D9" w14:textId="3E00C9F7" w:rsidR="00891B9F" w:rsidRDefault="00891B9F" w:rsidP="006C0C47">
      <w:pPr>
        <w:spacing w:after="0"/>
      </w:pPr>
      <w:r>
        <w:rPr>
          <w:b/>
        </w:rPr>
        <w:t>Proposal</w:t>
      </w:r>
      <w:r w:rsidRPr="000C16A6">
        <w:rPr>
          <w:b/>
        </w:rPr>
        <w:t xml:space="preserve"> </w:t>
      </w:r>
      <w:r>
        <w:rPr>
          <w:b/>
        </w:rPr>
        <w:t>1</w:t>
      </w:r>
      <w:r w:rsidRPr="000C16A6">
        <w:rPr>
          <w:b/>
        </w:rPr>
        <w:t>:</w:t>
      </w:r>
      <w:r w:rsidRPr="000C16A6">
        <w:t xml:space="preserve"> </w:t>
      </w:r>
      <w:r w:rsidR="00634D47">
        <w:t>Discuss h</w:t>
      </w:r>
      <w:r>
        <w:t>av</w:t>
      </w:r>
      <w:r w:rsidR="00634D47">
        <w:t>ing</w:t>
      </w:r>
      <w:r>
        <w:t xml:space="preserve"> two main UE types for FR2 power class: portable and fixed. Consider further defining portable devices based on their form-factor as handheld and larger. Categorize fixed devices depending on whether they are fixed on a </w:t>
      </w:r>
      <w:r w:rsidRPr="00A94653">
        <w:rPr>
          <w:i/>
        </w:rPr>
        <w:t>stationary</w:t>
      </w:r>
      <w:r>
        <w:t xml:space="preserve"> platform or a </w:t>
      </w:r>
      <w:r w:rsidRPr="00A94653">
        <w:rPr>
          <w:i/>
        </w:rPr>
        <w:t>moving</w:t>
      </w:r>
      <w:r>
        <w:t xml:space="preserve"> platform.</w:t>
      </w:r>
    </w:p>
    <w:p w14:paraId="4D79C5B3" w14:textId="77777777" w:rsidR="006C0C47" w:rsidRDefault="006C0C47" w:rsidP="006C0C47">
      <w:pPr>
        <w:spacing w:after="0"/>
      </w:pPr>
    </w:p>
    <w:p w14:paraId="2F58CC39" w14:textId="6403708C" w:rsidR="00A547BF" w:rsidRDefault="00A547BF" w:rsidP="00A547BF">
      <w:pPr>
        <w:pStyle w:val="ListParagraph"/>
        <w:overflowPunct/>
        <w:autoSpaceDE/>
        <w:autoSpaceDN/>
        <w:adjustRightInd/>
        <w:spacing w:after="0"/>
        <w:ind w:left="0"/>
        <w:textAlignment w:val="auto"/>
      </w:pPr>
      <w:r w:rsidRPr="000C16A6">
        <w:rPr>
          <w:b/>
        </w:rPr>
        <w:t xml:space="preserve">Observation </w:t>
      </w:r>
      <w:r>
        <w:rPr>
          <w:b/>
        </w:rPr>
        <w:t>3</w:t>
      </w:r>
      <w:r w:rsidRPr="000C16A6">
        <w:rPr>
          <w:b/>
        </w:rPr>
        <w:t>:</w:t>
      </w:r>
      <w:r w:rsidRPr="000C16A6">
        <w:t xml:space="preserve"> </w:t>
      </w:r>
      <w:r>
        <w:t xml:space="preserve">The example </w:t>
      </w:r>
      <w:r>
        <w:t xml:space="preserve">minimum peak EIRP calculations for FWA devices </w:t>
      </w:r>
      <w:r w:rsidR="009F606B">
        <w:t>o</w:t>
      </w:r>
      <w:r>
        <w:t xml:space="preserve">n a </w:t>
      </w:r>
      <w:r w:rsidR="009F606B">
        <w:rPr>
          <w:i/>
        </w:rPr>
        <w:t>stationary</w:t>
      </w:r>
      <w:r>
        <w:t xml:space="preserve"> platform yield 36.30 dBm for 28GHz, and 34.30 dBm for 39GHz. This represents an increase of over 15 dB from our handheld device values.</w:t>
      </w:r>
    </w:p>
    <w:p w14:paraId="7C9F7142" w14:textId="77777777" w:rsidR="00A547BF" w:rsidRDefault="00A547BF" w:rsidP="00A547BF">
      <w:pPr>
        <w:pStyle w:val="ListParagraph"/>
        <w:overflowPunct/>
        <w:autoSpaceDE/>
        <w:autoSpaceDN/>
        <w:adjustRightInd/>
        <w:spacing w:before="360" w:after="0"/>
        <w:ind w:left="0"/>
        <w:textAlignment w:val="auto"/>
      </w:pPr>
    </w:p>
    <w:p w14:paraId="3B3EFBE3" w14:textId="55A7A915" w:rsidR="00AC27AB" w:rsidRDefault="00A547BF" w:rsidP="00A547BF">
      <w:pPr>
        <w:spacing w:after="0"/>
      </w:pPr>
      <w:r>
        <w:rPr>
          <w:b/>
        </w:rPr>
        <w:t>Proposal</w:t>
      </w:r>
      <w:r w:rsidRPr="000C16A6">
        <w:rPr>
          <w:b/>
        </w:rPr>
        <w:t xml:space="preserve"> </w:t>
      </w:r>
      <w:r>
        <w:rPr>
          <w:b/>
        </w:rPr>
        <w:t>2</w:t>
      </w:r>
      <w:r w:rsidRPr="000C16A6">
        <w:rPr>
          <w:b/>
        </w:rPr>
        <w:t>:</w:t>
      </w:r>
      <w:r w:rsidRPr="000C16A6">
        <w:t xml:space="preserve"> </w:t>
      </w:r>
      <w:r>
        <w:t xml:space="preserve">Define the minimum peak EIRP requirement for FWA devices </w:t>
      </w:r>
      <w:r w:rsidR="009F606B">
        <w:t>o</w:t>
      </w:r>
      <w:r>
        <w:t xml:space="preserve">n a </w:t>
      </w:r>
      <w:r w:rsidR="009F606B">
        <w:rPr>
          <w:i/>
        </w:rPr>
        <w:t>stationary</w:t>
      </w:r>
      <w:r>
        <w:t xml:space="preserve"> platform as 36.30 dBm for 28 GHz, and 34.30 dBm for 39 GHz.</w:t>
      </w:r>
    </w:p>
    <w:p w14:paraId="74FB2B4E" w14:textId="77777777" w:rsidR="00A510A7" w:rsidRDefault="00A510A7" w:rsidP="00523EA9">
      <w:pPr>
        <w:spacing w:after="0"/>
      </w:pPr>
    </w:p>
    <w:p w14:paraId="33A0EC10" w14:textId="612AFB7E" w:rsidR="006C0C47" w:rsidRDefault="006C0C47" w:rsidP="006C0C47">
      <w:pPr>
        <w:spacing w:after="0"/>
      </w:pPr>
      <w:r w:rsidRPr="002A1606">
        <w:rPr>
          <w:b/>
        </w:rPr>
        <w:t>Observation</w:t>
      </w:r>
      <w:r>
        <w:rPr>
          <w:b/>
        </w:rPr>
        <w:t xml:space="preserve"> 4</w:t>
      </w:r>
      <w:r w:rsidRPr="002A1606">
        <w:rPr>
          <w:b/>
        </w:rPr>
        <w:t>:</w:t>
      </w:r>
      <w:r w:rsidRPr="000C16A6">
        <w:t xml:space="preserve"> </w:t>
      </w:r>
      <w:r>
        <w:t xml:space="preserve">Companies are </w:t>
      </w:r>
      <w:r w:rsidRPr="000C16A6">
        <w:t>encourage</w:t>
      </w:r>
      <w:r>
        <w:t>d</w:t>
      </w:r>
      <w:r w:rsidRPr="000C16A6">
        <w:t xml:space="preserve"> to include additional </w:t>
      </w:r>
      <w:r>
        <w:t>topics</w:t>
      </w:r>
      <w:r w:rsidRPr="000C16A6">
        <w:t xml:space="preserve"> of interest</w:t>
      </w:r>
      <w:r>
        <w:t xml:space="preserve"> that may impact FWA requirements for discussion in upcoming</w:t>
      </w:r>
      <w:r w:rsidR="000C3A6B">
        <w:t xml:space="preserve"> meeting</w:t>
      </w:r>
      <w:r w:rsidR="00F6458C">
        <w:t>s</w:t>
      </w:r>
      <w:r>
        <w:t>.</w:t>
      </w:r>
    </w:p>
    <w:p w14:paraId="3F8CE28D" w14:textId="77777777" w:rsidR="006C0C47" w:rsidRDefault="006C0C47" w:rsidP="006C0C47">
      <w:pPr>
        <w:spacing w:after="0"/>
        <w:rPr>
          <w:b/>
        </w:rPr>
      </w:pPr>
    </w:p>
    <w:p w14:paraId="7D706FDD" w14:textId="07C4DCA0" w:rsidR="00A510A7" w:rsidRPr="000C16A6" w:rsidRDefault="006C0C47" w:rsidP="006C0C47">
      <w:pPr>
        <w:spacing w:after="0"/>
        <w:rPr>
          <w:rFonts w:eastAsia="Batang"/>
        </w:rPr>
      </w:pPr>
      <w:r>
        <w:rPr>
          <w:b/>
        </w:rPr>
        <w:t>Proposal 3</w:t>
      </w:r>
      <w:r w:rsidRPr="000C16A6">
        <w:rPr>
          <w:b/>
        </w:rPr>
        <w:t>:</w:t>
      </w:r>
      <w:r>
        <w:t xml:space="preserve"> We should r</w:t>
      </w:r>
      <w:r w:rsidRPr="000C16A6">
        <w:t>evisit</w:t>
      </w:r>
      <w:r>
        <w:t xml:space="preserve"> the required handheld device features</w:t>
      </w:r>
      <w:r w:rsidRPr="000C16A6">
        <w:t xml:space="preserve"> </w:t>
      </w:r>
      <w:r>
        <w:t>and determine which ones</w:t>
      </w:r>
      <w:r w:rsidRPr="000C16A6">
        <w:t xml:space="preserve"> </w:t>
      </w:r>
      <w:r>
        <w:t>can</w:t>
      </w:r>
      <w:r w:rsidRPr="000C16A6">
        <w:t xml:space="preserve"> be defined as optional capabilities for </w:t>
      </w:r>
      <w:r>
        <w:t>FWA devices.</w:t>
      </w:r>
    </w:p>
    <w:p w14:paraId="078D5030" w14:textId="77777777" w:rsidR="002B76F4" w:rsidRPr="00E64F9B" w:rsidRDefault="002B76F4" w:rsidP="002B76F4">
      <w:pPr>
        <w:pStyle w:val="Heading1"/>
        <w:spacing w:after="0"/>
        <w:rPr>
          <w:rFonts w:ascii="Times New Roman" w:hAnsi="Times New Roman"/>
          <w:sz w:val="20"/>
        </w:rPr>
      </w:pPr>
    </w:p>
    <w:p w14:paraId="5349FF8D" w14:textId="77777777" w:rsidR="002B76F4" w:rsidRDefault="002B76F4" w:rsidP="002B76F4">
      <w:pPr>
        <w:pStyle w:val="Heading1"/>
        <w:spacing w:before="0"/>
      </w:pPr>
      <w:r>
        <w:t>4</w:t>
      </w:r>
      <w:r>
        <w:tab/>
        <w:t>References</w:t>
      </w:r>
    </w:p>
    <w:p w14:paraId="3508F0CE" w14:textId="330AED19" w:rsidR="00FA6524" w:rsidRDefault="00FA6524" w:rsidP="00AE16EF">
      <w:pPr>
        <w:numPr>
          <w:ilvl w:val="0"/>
          <w:numId w:val="1"/>
        </w:numPr>
        <w:spacing w:after="0"/>
      </w:pPr>
      <w:bookmarkStart w:id="1" w:name="_Ref476813621"/>
      <w:bookmarkStart w:id="2" w:name="_Ref476814267"/>
      <w:bookmarkStart w:id="3" w:name="_Ref466239739"/>
      <w:bookmarkStart w:id="4" w:name="_Ref485282685"/>
      <w:bookmarkStart w:id="5" w:name="_Ref466239850"/>
      <w:r>
        <w:t xml:space="preserve">R4-1706935, “WF on power class framework for </w:t>
      </w:r>
      <w:proofErr w:type="spellStart"/>
      <w:r>
        <w:t>mmWave</w:t>
      </w:r>
      <w:proofErr w:type="spellEnd"/>
      <w:r>
        <w:t>,” Intel Corporation, Huawei, LGE, 3GPP RAN4 AH NR#2, June 2017</w:t>
      </w:r>
    </w:p>
    <w:p w14:paraId="00586AF2" w14:textId="5B0B81B5" w:rsidR="00FA6524" w:rsidRDefault="00FA6524" w:rsidP="00AE16EF">
      <w:pPr>
        <w:numPr>
          <w:ilvl w:val="0"/>
          <w:numId w:val="1"/>
        </w:numPr>
        <w:spacing w:after="0"/>
      </w:pPr>
      <w:r>
        <w:t>R4-1714445, “WF on pi/2 BPSK spectrum shaping and power class in FR2,” Intel Corporation, Apple, Qualcomm, IITH, LGE, Nokia, Huawei, Motorola Mobility, 3GPP RAN4 #85, November 2017</w:t>
      </w:r>
    </w:p>
    <w:p w14:paraId="44EC6403" w14:textId="77777777" w:rsidR="00FA6524" w:rsidRDefault="00FA6524" w:rsidP="00FA6524">
      <w:pPr>
        <w:numPr>
          <w:ilvl w:val="0"/>
          <w:numId w:val="1"/>
        </w:numPr>
        <w:spacing w:after="0"/>
      </w:pPr>
      <w:r>
        <w:t xml:space="preserve">R4-1801106, “WF peak EIRP requirement for </w:t>
      </w:r>
      <w:proofErr w:type="spellStart"/>
      <w:r>
        <w:t>mmW</w:t>
      </w:r>
      <w:proofErr w:type="spellEnd"/>
      <w:r>
        <w:t>,” Qualcomm,  RAN4 AH-1801, January 2018</w:t>
      </w:r>
    </w:p>
    <w:p w14:paraId="3B0E590E" w14:textId="2E569476" w:rsidR="00363CDE" w:rsidRDefault="00363CDE" w:rsidP="00363CDE">
      <w:pPr>
        <w:widowControl w:val="0"/>
        <w:numPr>
          <w:ilvl w:val="0"/>
          <w:numId w:val="1"/>
        </w:numPr>
        <w:overflowPunct/>
        <w:autoSpaceDE/>
        <w:autoSpaceDN/>
        <w:adjustRightInd/>
        <w:spacing w:after="0"/>
        <w:textAlignment w:val="auto"/>
      </w:pPr>
      <w:bookmarkStart w:id="6" w:name="_Ref510392614"/>
      <w:bookmarkStart w:id="7" w:name="_Ref510392633"/>
      <w:r>
        <w:t>R4-1803372, “</w:t>
      </w:r>
      <w:r w:rsidRPr="00D27124">
        <w:t>WF on output power requirements on FR2</w:t>
      </w:r>
      <w:r>
        <w:t xml:space="preserve">,” </w:t>
      </w:r>
      <w:r w:rsidRPr="00D27124">
        <w:t xml:space="preserve">Qualcomm, Samsung, Verizon, AT&amp;T, T-Mobile USA, NXP, DISH, Orange, ZTE, US Cellular, C Spire, Ericsson, Telstra, KT, Nokia, Vodafone, </w:t>
      </w:r>
      <w:proofErr w:type="spellStart"/>
      <w:r w:rsidRPr="00D27124">
        <w:t>Mavenir</w:t>
      </w:r>
      <w:proofErr w:type="spellEnd"/>
      <w:r w:rsidRPr="00D27124">
        <w:t xml:space="preserve">, Telecom Italia, Reliance </w:t>
      </w:r>
      <w:proofErr w:type="spellStart"/>
      <w:r w:rsidRPr="00D27124">
        <w:t>Jio</w:t>
      </w:r>
      <w:proofErr w:type="spellEnd"/>
      <w:r w:rsidRPr="00D27124">
        <w:t xml:space="preserve">, IITH, IITM, </w:t>
      </w:r>
      <w:proofErr w:type="spellStart"/>
      <w:r w:rsidRPr="00D27124">
        <w:t>CEWiT</w:t>
      </w:r>
      <w:proofErr w:type="spellEnd"/>
      <w:r w:rsidRPr="00D27124">
        <w:t xml:space="preserve">, </w:t>
      </w:r>
      <w:proofErr w:type="spellStart"/>
      <w:r w:rsidRPr="00D27124">
        <w:t>Tejas</w:t>
      </w:r>
      <w:proofErr w:type="spellEnd"/>
      <w:r w:rsidRPr="00D27124">
        <w:t xml:space="preserve"> Networks</w:t>
      </w:r>
      <w:r>
        <w:t>, 3GPP RAN4 #86, February 2018</w:t>
      </w:r>
      <w:bookmarkEnd w:id="6"/>
    </w:p>
    <w:p w14:paraId="1592824D" w14:textId="4C3DF821" w:rsidR="00363CDE" w:rsidRDefault="00363CDE" w:rsidP="00363CDE">
      <w:pPr>
        <w:numPr>
          <w:ilvl w:val="0"/>
          <w:numId w:val="1"/>
        </w:numPr>
        <w:spacing w:after="0"/>
      </w:pPr>
      <w:r w:rsidRPr="00AA59DF">
        <w:t>R4-1803460</w:t>
      </w:r>
      <w:r>
        <w:t>, “</w:t>
      </w:r>
      <w:r w:rsidRPr="00C40265">
        <w:t>WF on FR2 peak EIRP for handheld UE</w:t>
      </w:r>
      <w:r>
        <w:t xml:space="preserve">,” </w:t>
      </w:r>
      <w:r w:rsidRPr="00C40265">
        <w:t xml:space="preserve">Intel, Xiaomi, OPPO, vivo, </w:t>
      </w:r>
      <w:proofErr w:type="spellStart"/>
      <w:r w:rsidRPr="00C40265">
        <w:t>Media</w:t>
      </w:r>
      <w:r>
        <w:t>Tek</w:t>
      </w:r>
      <w:proofErr w:type="spellEnd"/>
      <w:r>
        <w:t>,</w:t>
      </w:r>
      <w:r w:rsidRPr="00C40265">
        <w:t xml:space="preserve"> LGE, Apple, </w:t>
      </w:r>
      <w:proofErr w:type="spellStart"/>
      <w:r w:rsidRPr="00C40265">
        <w:t>Qorvo</w:t>
      </w:r>
      <w:proofErr w:type="spellEnd"/>
      <w:r>
        <w:t>, 3GPP RAN4 #86, February 2018</w:t>
      </w:r>
      <w:bookmarkEnd w:id="7"/>
    </w:p>
    <w:p w14:paraId="6C02BB77" w14:textId="77777777" w:rsidR="00801C50" w:rsidRPr="00F80A74" w:rsidRDefault="00801C50" w:rsidP="00801C50">
      <w:pPr>
        <w:numPr>
          <w:ilvl w:val="0"/>
          <w:numId w:val="1"/>
        </w:numPr>
        <w:spacing w:after="0"/>
      </w:pPr>
      <w:r w:rsidRPr="00F80A74">
        <w:t>R4-1801191, “WF on Fixed wireless access use case for FR2,” Intel Corporation, Verizon, January 2018</w:t>
      </w:r>
    </w:p>
    <w:p w14:paraId="1662F74A" w14:textId="7E1F46A2" w:rsidR="00801C50" w:rsidRDefault="00801C50" w:rsidP="00801C50">
      <w:pPr>
        <w:numPr>
          <w:ilvl w:val="0"/>
          <w:numId w:val="1"/>
        </w:numPr>
        <w:spacing w:after="0"/>
      </w:pPr>
      <w:r w:rsidRPr="00F80A74">
        <w:rPr>
          <w:lang w:val="en-US"/>
        </w:rPr>
        <w:t>R4-1801787</w:t>
      </w:r>
      <w:r>
        <w:rPr>
          <w:lang w:val="en-US"/>
        </w:rPr>
        <w:t>, “On FR2 power class for FWA devices,” Intel Corporation, R</w:t>
      </w:r>
      <w:r w:rsidR="008F5DD8">
        <w:rPr>
          <w:lang w:val="en-US"/>
        </w:rPr>
        <w:t>AN</w:t>
      </w:r>
      <w:r>
        <w:rPr>
          <w:lang w:val="en-US"/>
        </w:rPr>
        <w:t>4 #86, February 2018</w:t>
      </w:r>
    </w:p>
    <w:p w14:paraId="578AC9F7" w14:textId="77777777" w:rsidR="008F5DD8" w:rsidRDefault="008F5DD8" w:rsidP="008F5DD8">
      <w:pPr>
        <w:numPr>
          <w:ilvl w:val="0"/>
          <w:numId w:val="1"/>
        </w:numPr>
        <w:spacing w:after="0"/>
      </w:pPr>
      <w:r>
        <w:t xml:space="preserve">R4-1802402, “Handling on minimum requirements for CPE devices,” Samsung, </w:t>
      </w:r>
      <w:r>
        <w:rPr>
          <w:lang w:val="en-US"/>
        </w:rPr>
        <w:t>RAN4 #86, February 2018</w:t>
      </w:r>
    </w:p>
    <w:p w14:paraId="799313FD" w14:textId="3617DB51" w:rsidR="001B593D" w:rsidRDefault="0082659E" w:rsidP="0082659E">
      <w:pPr>
        <w:numPr>
          <w:ilvl w:val="0"/>
          <w:numId w:val="1"/>
        </w:numPr>
        <w:spacing w:after="0"/>
      </w:pPr>
      <w:proofErr w:type="spellStart"/>
      <w:r>
        <w:t>Statis</w:t>
      </w:r>
      <w:r w:rsidR="00EC3929">
        <w:t>t</w:t>
      </w:r>
      <w:r>
        <w:t>a</w:t>
      </w:r>
      <w:proofErr w:type="spellEnd"/>
      <w:r>
        <w:t xml:space="preserve">: Forecast number of tablet users worldwide 2013-2020, </w:t>
      </w:r>
      <w:hyperlink r:id="rId10" w:history="1">
        <w:r w:rsidRPr="003971DD">
          <w:rPr>
            <w:rStyle w:val="Hyperlink"/>
          </w:rPr>
          <w:t>https://www.statista.com/statistics/377977/tablet-users-worldwide-forecast/</w:t>
        </w:r>
      </w:hyperlink>
    </w:p>
    <w:p w14:paraId="48327BEF" w14:textId="77777777" w:rsidR="00D4268E" w:rsidRDefault="00D4268E" w:rsidP="00AE16EF">
      <w:pPr>
        <w:numPr>
          <w:ilvl w:val="0"/>
          <w:numId w:val="1"/>
        </w:numPr>
        <w:spacing w:after="0"/>
      </w:pPr>
      <w:r>
        <w:t>FCC 16-89</w:t>
      </w:r>
    </w:p>
    <w:bookmarkEnd w:id="1"/>
    <w:bookmarkEnd w:id="2"/>
    <w:p w14:paraId="0D3A88D1" w14:textId="0CBB03C2" w:rsidR="007523BC" w:rsidRDefault="00FD685A" w:rsidP="00016A8A">
      <w:pPr>
        <w:numPr>
          <w:ilvl w:val="0"/>
          <w:numId w:val="1"/>
        </w:numPr>
        <w:spacing w:after="0"/>
        <w:rPr>
          <w:lang w:val="en-US"/>
        </w:rPr>
      </w:pPr>
      <w:r w:rsidRPr="008A1659">
        <w:rPr>
          <w:lang w:val="en-US"/>
        </w:rPr>
        <w:lastRenderedPageBreak/>
        <w:t>R4-17</w:t>
      </w:r>
      <w:r w:rsidR="00EC3929" w:rsidRPr="008A1659">
        <w:rPr>
          <w:lang w:val="en-US"/>
        </w:rPr>
        <w:t>11861</w:t>
      </w:r>
      <w:r w:rsidRPr="008A1659">
        <w:rPr>
          <w:lang w:val="en-US"/>
        </w:rPr>
        <w:t xml:space="preserve">, </w:t>
      </w:r>
      <w:bookmarkEnd w:id="3"/>
      <w:bookmarkEnd w:id="4"/>
      <w:bookmarkEnd w:id="5"/>
      <w:r w:rsidR="00627422" w:rsidRPr="008A1659">
        <w:rPr>
          <w:lang w:val="en-US"/>
        </w:rPr>
        <w:t>“</w:t>
      </w:r>
      <w:r w:rsidR="00EC3929" w:rsidRPr="008A1659">
        <w:rPr>
          <w:lang w:val="en-US"/>
        </w:rPr>
        <w:t>Summary of simulation results on Co</w:t>
      </w:r>
      <w:r w:rsidR="00627422" w:rsidRPr="008A1659">
        <w:rPr>
          <w:lang w:val="en-US"/>
        </w:rPr>
        <w:t>existence Studies for 55dBm CPE,” Ericsson, Qualcomm, Samsung, Verizon, Nokia, RAN4 #84bis, October 2017</w:t>
      </w:r>
    </w:p>
    <w:sectPr w:rsidR="007523BC" w:rsidSect="00B04C91">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314C4" w14:textId="77777777" w:rsidR="00CE11E4" w:rsidRDefault="00CE11E4">
      <w:pPr>
        <w:spacing w:after="0"/>
      </w:pPr>
      <w:r>
        <w:separator/>
      </w:r>
    </w:p>
  </w:endnote>
  <w:endnote w:type="continuationSeparator" w:id="0">
    <w:p w14:paraId="38BAA384" w14:textId="77777777" w:rsidR="00CE11E4" w:rsidRDefault="00CE11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1571F" w14:textId="77777777" w:rsidR="00EC3929" w:rsidRPr="00FB0969" w:rsidRDefault="00EC3929" w:rsidP="00B04C91">
    <w:pPr>
      <w:pStyle w:val="Footer"/>
    </w:pPr>
    <w:r>
      <w:rPr>
        <w:noProof w:val="0"/>
      </w:rPr>
      <w:fldChar w:fldCharType="begin"/>
    </w:r>
    <w:r>
      <w:rPr>
        <w:noProof w:val="0"/>
      </w:rPr>
      <w:instrText xml:space="preserve"> PAGE   \* MERGEFORMAT </w:instrText>
    </w:r>
    <w:r>
      <w:rPr>
        <w:noProof w:val="0"/>
      </w:rPr>
      <w:fldChar w:fldCharType="separate"/>
    </w:r>
    <w:r w:rsidR="009F606B">
      <w:t>1</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rsidR="009F606B">
      <w:t>5</w:t>
    </w:r>
    <w:r>
      <w:rPr>
        <w:noProof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14B24" w14:textId="77777777" w:rsidR="00CE11E4" w:rsidRDefault="00CE11E4">
      <w:pPr>
        <w:spacing w:after="0"/>
      </w:pPr>
      <w:r>
        <w:separator/>
      </w:r>
    </w:p>
  </w:footnote>
  <w:footnote w:type="continuationSeparator" w:id="0">
    <w:p w14:paraId="0E14E932" w14:textId="77777777" w:rsidR="00CE11E4" w:rsidRDefault="00CE11E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FA6AA1"/>
    <w:multiLevelType w:val="hybridMultilevel"/>
    <w:tmpl w:val="E33E6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B166B4"/>
    <w:multiLevelType w:val="hybridMultilevel"/>
    <w:tmpl w:val="890E50A2"/>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5269B"/>
    <w:multiLevelType w:val="hybridMultilevel"/>
    <w:tmpl w:val="ADC2870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CED2D1D0">
      <w:start w:val="63"/>
      <w:numFmt w:val="bullet"/>
      <w:lvlText w:val="•"/>
      <w:lvlJc w:val="left"/>
      <w:pPr>
        <w:ind w:left="2160" w:hanging="360"/>
      </w:pPr>
      <w:rPr>
        <w:rFonts w:ascii="Arial" w:hAnsi="Arial" w:hint="default"/>
        <w:sz w:val="22"/>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2F6707"/>
    <w:multiLevelType w:val="hybridMultilevel"/>
    <w:tmpl w:val="DFC4FA44"/>
    <w:lvl w:ilvl="0" w:tplc="DAACAF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E4789B"/>
    <w:multiLevelType w:val="hybridMultilevel"/>
    <w:tmpl w:val="A7944C44"/>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D93651"/>
    <w:multiLevelType w:val="hybridMultilevel"/>
    <w:tmpl w:val="EE9A41EA"/>
    <w:lvl w:ilvl="0" w:tplc="04090005">
      <w:start w:val="1"/>
      <w:numFmt w:val="bullet"/>
      <w:lvlText w:val=""/>
      <w:lvlJc w:val="left"/>
      <w:pPr>
        <w:tabs>
          <w:tab w:val="num" w:pos="360"/>
        </w:tabs>
        <w:ind w:left="360" w:hanging="360"/>
      </w:pPr>
      <w:rPr>
        <w:rFonts w:ascii="Wingdings" w:hAnsi="Wingdings" w:hint="default"/>
      </w:rPr>
    </w:lvl>
    <w:lvl w:ilvl="1" w:tplc="3EDAC65C">
      <w:start w:val="1"/>
      <w:numFmt w:val="bullet"/>
      <w:lvlText w:val="o"/>
      <w:lvlJc w:val="left"/>
      <w:pPr>
        <w:tabs>
          <w:tab w:val="num" w:pos="1080"/>
        </w:tabs>
        <w:ind w:left="1080" w:hanging="360"/>
      </w:pPr>
      <w:rPr>
        <w:rFonts w:ascii="Courier New" w:hAnsi="Courier New" w:hint="default"/>
        <w:color w:val="auto"/>
      </w:rPr>
    </w:lvl>
    <w:lvl w:ilvl="2" w:tplc="80AA6B70" w:tentative="1">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B227CA0"/>
    <w:multiLevelType w:val="hybridMultilevel"/>
    <w:tmpl w:val="DE920E06"/>
    <w:lvl w:ilvl="0" w:tplc="04090005">
      <w:start w:val="1"/>
      <w:numFmt w:val="bullet"/>
      <w:lvlText w:val=""/>
      <w:lvlJc w:val="left"/>
      <w:pPr>
        <w:tabs>
          <w:tab w:val="num" w:pos="360"/>
        </w:tabs>
        <w:ind w:left="360" w:hanging="360"/>
      </w:pPr>
      <w:rPr>
        <w:rFonts w:ascii="Wingdings" w:hAnsi="Wingdings" w:hint="default"/>
      </w:rPr>
    </w:lvl>
    <w:lvl w:ilvl="1" w:tplc="0AA018E6">
      <w:start w:val="175"/>
      <w:numFmt w:val="bullet"/>
      <w:lvlText w:val="•"/>
      <w:lvlJc w:val="left"/>
      <w:pPr>
        <w:tabs>
          <w:tab w:val="num" w:pos="1080"/>
        </w:tabs>
        <w:ind w:left="1080" w:hanging="360"/>
      </w:pPr>
      <w:rPr>
        <w:rFonts w:ascii="Arial" w:hAnsi="Arial" w:hint="default"/>
      </w:rPr>
    </w:lvl>
    <w:lvl w:ilvl="2" w:tplc="80AA6B70">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1E01F2A"/>
    <w:multiLevelType w:val="hybridMultilevel"/>
    <w:tmpl w:val="2A5C4F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F44E54"/>
    <w:multiLevelType w:val="hybridMultilevel"/>
    <w:tmpl w:val="1AD24D5C"/>
    <w:lvl w:ilvl="0" w:tplc="2618B2D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454C7"/>
    <w:multiLevelType w:val="hybridMultilevel"/>
    <w:tmpl w:val="310C2AAE"/>
    <w:lvl w:ilvl="0" w:tplc="C138383C">
      <w:start w:val="1"/>
      <w:numFmt w:val="bullet"/>
      <w:lvlText w:val="•"/>
      <w:lvlJc w:val="left"/>
      <w:pPr>
        <w:tabs>
          <w:tab w:val="num" w:pos="720"/>
        </w:tabs>
        <w:ind w:left="720" w:hanging="360"/>
      </w:pPr>
      <w:rPr>
        <w:rFonts w:ascii="Arial" w:hAnsi="Arial" w:hint="default"/>
      </w:rPr>
    </w:lvl>
    <w:lvl w:ilvl="1" w:tplc="D688D42A" w:tentative="1">
      <w:start w:val="1"/>
      <w:numFmt w:val="bullet"/>
      <w:lvlText w:val="•"/>
      <w:lvlJc w:val="left"/>
      <w:pPr>
        <w:tabs>
          <w:tab w:val="num" w:pos="1440"/>
        </w:tabs>
        <w:ind w:left="1440" w:hanging="360"/>
      </w:pPr>
      <w:rPr>
        <w:rFonts w:ascii="Arial" w:hAnsi="Arial" w:hint="default"/>
      </w:rPr>
    </w:lvl>
    <w:lvl w:ilvl="2" w:tplc="0830692A" w:tentative="1">
      <w:start w:val="1"/>
      <w:numFmt w:val="bullet"/>
      <w:lvlText w:val="•"/>
      <w:lvlJc w:val="left"/>
      <w:pPr>
        <w:tabs>
          <w:tab w:val="num" w:pos="2160"/>
        </w:tabs>
        <w:ind w:left="2160" w:hanging="360"/>
      </w:pPr>
      <w:rPr>
        <w:rFonts w:ascii="Arial" w:hAnsi="Arial" w:hint="default"/>
      </w:rPr>
    </w:lvl>
    <w:lvl w:ilvl="3" w:tplc="CE285D52" w:tentative="1">
      <w:start w:val="1"/>
      <w:numFmt w:val="bullet"/>
      <w:lvlText w:val="•"/>
      <w:lvlJc w:val="left"/>
      <w:pPr>
        <w:tabs>
          <w:tab w:val="num" w:pos="2880"/>
        </w:tabs>
        <w:ind w:left="2880" w:hanging="360"/>
      </w:pPr>
      <w:rPr>
        <w:rFonts w:ascii="Arial" w:hAnsi="Arial" w:hint="default"/>
      </w:rPr>
    </w:lvl>
    <w:lvl w:ilvl="4" w:tplc="AB485FB4" w:tentative="1">
      <w:start w:val="1"/>
      <w:numFmt w:val="bullet"/>
      <w:lvlText w:val="•"/>
      <w:lvlJc w:val="left"/>
      <w:pPr>
        <w:tabs>
          <w:tab w:val="num" w:pos="3600"/>
        </w:tabs>
        <w:ind w:left="3600" w:hanging="360"/>
      </w:pPr>
      <w:rPr>
        <w:rFonts w:ascii="Arial" w:hAnsi="Arial" w:hint="default"/>
      </w:rPr>
    </w:lvl>
    <w:lvl w:ilvl="5" w:tplc="D72AF6B0" w:tentative="1">
      <w:start w:val="1"/>
      <w:numFmt w:val="bullet"/>
      <w:lvlText w:val="•"/>
      <w:lvlJc w:val="left"/>
      <w:pPr>
        <w:tabs>
          <w:tab w:val="num" w:pos="4320"/>
        </w:tabs>
        <w:ind w:left="4320" w:hanging="360"/>
      </w:pPr>
      <w:rPr>
        <w:rFonts w:ascii="Arial" w:hAnsi="Arial" w:hint="default"/>
      </w:rPr>
    </w:lvl>
    <w:lvl w:ilvl="6" w:tplc="416E8B96" w:tentative="1">
      <w:start w:val="1"/>
      <w:numFmt w:val="bullet"/>
      <w:lvlText w:val="•"/>
      <w:lvlJc w:val="left"/>
      <w:pPr>
        <w:tabs>
          <w:tab w:val="num" w:pos="5040"/>
        </w:tabs>
        <w:ind w:left="5040" w:hanging="360"/>
      </w:pPr>
      <w:rPr>
        <w:rFonts w:ascii="Arial" w:hAnsi="Arial" w:hint="default"/>
      </w:rPr>
    </w:lvl>
    <w:lvl w:ilvl="7" w:tplc="A5E25EAA" w:tentative="1">
      <w:start w:val="1"/>
      <w:numFmt w:val="bullet"/>
      <w:lvlText w:val="•"/>
      <w:lvlJc w:val="left"/>
      <w:pPr>
        <w:tabs>
          <w:tab w:val="num" w:pos="5760"/>
        </w:tabs>
        <w:ind w:left="5760" w:hanging="360"/>
      </w:pPr>
      <w:rPr>
        <w:rFonts w:ascii="Arial" w:hAnsi="Arial" w:hint="default"/>
      </w:rPr>
    </w:lvl>
    <w:lvl w:ilvl="8" w:tplc="F6DC122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D987D1A"/>
    <w:multiLevelType w:val="hybridMultilevel"/>
    <w:tmpl w:val="39CCA9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B21AF9"/>
    <w:multiLevelType w:val="hybridMultilevel"/>
    <w:tmpl w:val="DB46BE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4D53DF"/>
    <w:multiLevelType w:val="hybridMultilevel"/>
    <w:tmpl w:val="3B127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F23391"/>
    <w:multiLevelType w:val="hybridMultilevel"/>
    <w:tmpl w:val="17A2F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A52FE4"/>
    <w:multiLevelType w:val="hybridMultilevel"/>
    <w:tmpl w:val="D2688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375382"/>
    <w:multiLevelType w:val="hybridMultilevel"/>
    <w:tmpl w:val="C4ACADF0"/>
    <w:lvl w:ilvl="0" w:tplc="4B5C9BAA">
      <w:start w:val="1"/>
      <w:numFmt w:val="bullet"/>
      <w:lvlText w:val="•"/>
      <w:lvlJc w:val="left"/>
      <w:pPr>
        <w:tabs>
          <w:tab w:val="num" w:pos="720"/>
        </w:tabs>
        <w:ind w:left="720" w:hanging="360"/>
      </w:pPr>
      <w:rPr>
        <w:rFonts w:ascii="Arial" w:hAnsi="Arial" w:hint="default"/>
      </w:rPr>
    </w:lvl>
    <w:lvl w:ilvl="1" w:tplc="67CEA160">
      <w:start w:val="227"/>
      <w:numFmt w:val="bullet"/>
      <w:lvlText w:val="•"/>
      <w:lvlJc w:val="left"/>
      <w:pPr>
        <w:tabs>
          <w:tab w:val="num" w:pos="1440"/>
        </w:tabs>
        <w:ind w:left="1440" w:hanging="360"/>
      </w:pPr>
      <w:rPr>
        <w:rFonts w:ascii="Arial" w:hAnsi="Arial" w:hint="default"/>
      </w:rPr>
    </w:lvl>
    <w:lvl w:ilvl="2" w:tplc="4AF4C848" w:tentative="1">
      <w:start w:val="1"/>
      <w:numFmt w:val="bullet"/>
      <w:lvlText w:val="•"/>
      <w:lvlJc w:val="left"/>
      <w:pPr>
        <w:tabs>
          <w:tab w:val="num" w:pos="2160"/>
        </w:tabs>
        <w:ind w:left="2160" w:hanging="360"/>
      </w:pPr>
      <w:rPr>
        <w:rFonts w:ascii="Arial" w:hAnsi="Arial" w:hint="default"/>
      </w:rPr>
    </w:lvl>
    <w:lvl w:ilvl="3" w:tplc="E5F0C852" w:tentative="1">
      <w:start w:val="1"/>
      <w:numFmt w:val="bullet"/>
      <w:lvlText w:val="•"/>
      <w:lvlJc w:val="left"/>
      <w:pPr>
        <w:tabs>
          <w:tab w:val="num" w:pos="2880"/>
        </w:tabs>
        <w:ind w:left="2880" w:hanging="360"/>
      </w:pPr>
      <w:rPr>
        <w:rFonts w:ascii="Arial" w:hAnsi="Arial" w:hint="default"/>
      </w:rPr>
    </w:lvl>
    <w:lvl w:ilvl="4" w:tplc="7DC6A8D4" w:tentative="1">
      <w:start w:val="1"/>
      <w:numFmt w:val="bullet"/>
      <w:lvlText w:val="•"/>
      <w:lvlJc w:val="left"/>
      <w:pPr>
        <w:tabs>
          <w:tab w:val="num" w:pos="3600"/>
        </w:tabs>
        <w:ind w:left="3600" w:hanging="360"/>
      </w:pPr>
      <w:rPr>
        <w:rFonts w:ascii="Arial" w:hAnsi="Arial" w:hint="default"/>
      </w:rPr>
    </w:lvl>
    <w:lvl w:ilvl="5" w:tplc="471C65CA" w:tentative="1">
      <w:start w:val="1"/>
      <w:numFmt w:val="bullet"/>
      <w:lvlText w:val="•"/>
      <w:lvlJc w:val="left"/>
      <w:pPr>
        <w:tabs>
          <w:tab w:val="num" w:pos="4320"/>
        </w:tabs>
        <w:ind w:left="4320" w:hanging="360"/>
      </w:pPr>
      <w:rPr>
        <w:rFonts w:ascii="Arial" w:hAnsi="Arial" w:hint="default"/>
      </w:rPr>
    </w:lvl>
    <w:lvl w:ilvl="6" w:tplc="83E0AA22" w:tentative="1">
      <w:start w:val="1"/>
      <w:numFmt w:val="bullet"/>
      <w:lvlText w:val="•"/>
      <w:lvlJc w:val="left"/>
      <w:pPr>
        <w:tabs>
          <w:tab w:val="num" w:pos="5040"/>
        </w:tabs>
        <w:ind w:left="5040" w:hanging="360"/>
      </w:pPr>
      <w:rPr>
        <w:rFonts w:ascii="Arial" w:hAnsi="Arial" w:hint="default"/>
      </w:rPr>
    </w:lvl>
    <w:lvl w:ilvl="7" w:tplc="446AE21C" w:tentative="1">
      <w:start w:val="1"/>
      <w:numFmt w:val="bullet"/>
      <w:lvlText w:val="•"/>
      <w:lvlJc w:val="left"/>
      <w:pPr>
        <w:tabs>
          <w:tab w:val="num" w:pos="5760"/>
        </w:tabs>
        <w:ind w:left="5760" w:hanging="360"/>
      </w:pPr>
      <w:rPr>
        <w:rFonts w:ascii="Arial" w:hAnsi="Arial" w:hint="default"/>
      </w:rPr>
    </w:lvl>
    <w:lvl w:ilvl="8" w:tplc="D19E1E4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1E726A"/>
    <w:multiLevelType w:val="hybridMultilevel"/>
    <w:tmpl w:val="2E26F330"/>
    <w:lvl w:ilvl="0" w:tplc="1CD4471A">
      <w:start w:val="1"/>
      <w:numFmt w:val="bullet"/>
      <w:lvlText w:val="•"/>
      <w:lvlJc w:val="left"/>
      <w:pPr>
        <w:tabs>
          <w:tab w:val="num" w:pos="720"/>
        </w:tabs>
        <w:ind w:left="720" w:hanging="360"/>
      </w:pPr>
      <w:rPr>
        <w:rFonts w:ascii="Arial" w:hAnsi="Arial" w:hint="default"/>
      </w:rPr>
    </w:lvl>
    <w:lvl w:ilvl="1" w:tplc="2B0262E0">
      <w:start w:val="227"/>
      <w:numFmt w:val="bullet"/>
      <w:lvlText w:val="•"/>
      <w:lvlJc w:val="left"/>
      <w:pPr>
        <w:tabs>
          <w:tab w:val="num" w:pos="1440"/>
        </w:tabs>
        <w:ind w:left="1440" w:hanging="360"/>
      </w:pPr>
      <w:rPr>
        <w:rFonts w:ascii="Arial" w:hAnsi="Arial" w:hint="default"/>
      </w:rPr>
    </w:lvl>
    <w:lvl w:ilvl="2" w:tplc="A4CCB924" w:tentative="1">
      <w:start w:val="1"/>
      <w:numFmt w:val="bullet"/>
      <w:lvlText w:val="•"/>
      <w:lvlJc w:val="left"/>
      <w:pPr>
        <w:tabs>
          <w:tab w:val="num" w:pos="2160"/>
        </w:tabs>
        <w:ind w:left="2160" w:hanging="360"/>
      </w:pPr>
      <w:rPr>
        <w:rFonts w:ascii="Arial" w:hAnsi="Arial" w:hint="default"/>
      </w:rPr>
    </w:lvl>
    <w:lvl w:ilvl="3" w:tplc="1C902A9A" w:tentative="1">
      <w:start w:val="1"/>
      <w:numFmt w:val="bullet"/>
      <w:lvlText w:val="•"/>
      <w:lvlJc w:val="left"/>
      <w:pPr>
        <w:tabs>
          <w:tab w:val="num" w:pos="2880"/>
        </w:tabs>
        <w:ind w:left="2880" w:hanging="360"/>
      </w:pPr>
      <w:rPr>
        <w:rFonts w:ascii="Arial" w:hAnsi="Arial" w:hint="default"/>
      </w:rPr>
    </w:lvl>
    <w:lvl w:ilvl="4" w:tplc="B2FC0A4E" w:tentative="1">
      <w:start w:val="1"/>
      <w:numFmt w:val="bullet"/>
      <w:lvlText w:val="•"/>
      <w:lvlJc w:val="left"/>
      <w:pPr>
        <w:tabs>
          <w:tab w:val="num" w:pos="3600"/>
        </w:tabs>
        <w:ind w:left="3600" w:hanging="360"/>
      </w:pPr>
      <w:rPr>
        <w:rFonts w:ascii="Arial" w:hAnsi="Arial" w:hint="default"/>
      </w:rPr>
    </w:lvl>
    <w:lvl w:ilvl="5" w:tplc="C72C959A" w:tentative="1">
      <w:start w:val="1"/>
      <w:numFmt w:val="bullet"/>
      <w:lvlText w:val="•"/>
      <w:lvlJc w:val="left"/>
      <w:pPr>
        <w:tabs>
          <w:tab w:val="num" w:pos="4320"/>
        </w:tabs>
        <w:ind w:left="4320" w:hanging="360"/>
      </w:pPr>
      <w:rPr>
        <w:rFonts w:ascii="Arial" w:hAnsi="Arial" w:hint="default"/>
      </w:rPr>
    </w:lvl>
    <w:lvl w:ilvl="6" w:tplc="A050B326" w:tentative="1">
      <w:start w:val="1"/>
      <w:numFmt w:val="bullet"/>
      <w:lvlText w:val="•"/>
      <w:lvlJc w:val="left"/>
      <w:pPr>
        <w:tabs>
          <w:tab w:val="num" w:pos="5040"/>
        </w:tabs>
        <w:ind w:left="5040" w:hanging="360"/>
      </w:pPr>
      <w:rPr>
        <w:rFonts w:ascii="Arial" w:hAnsi="Arial" w:hint="default"/>
      </w:rPr>
    </w:lvl>
    <w:lvl w:ilvl="7" w:tplc="3B0CB07C" w:tentative="1">
      <w:start w:val="1"/>
      <w:numFmt w:val="bullet"/>
      <w:lvlText w:val="•"/>
      <w:lvlJc w:val="left"/>
      <w:pPr>
        <w:tabs>
          <w:tab w:val="num" w:pos="5760"/>
        </w:tabs>
        <w:ind w:left="5760" w:hanging="360"/>
      </w:pPr>
      <w:rPr>
        <w:rFonts w:ascii="Arial" w:hAnsi="Arial" w:hint="default"/>
      </w:rPr>
    </w:lvl>
    <w:lvl w:ilvl="8" w:tplc="F63059A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14F3F17"/>
    <w:multiLevelType w:val="hybridMultilevel"/>
    <w:tmpl w:val="EDCC440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1CA8C27C">
      <w:start w:val="1"/>
      <w:numFmt w:val="bullet"/>
      <w:lvlText w:val=""/>
      <w:lvlJc w:val="left"/>
      <w:pPr>
        <w:ind w:left="2160" w:hanging="360"/>
      </w:pPr>
      <w:rPr>
        <w:rFonts w:ascii="Symbol" w:hAnsi="Symbol" w:hint="default"/>
        <w:sz w:val="22"/>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8F6208"/>
    <w:multiLevelType w:val="hybridMultilevel"/>
    <w:tmpl w:val="3E0CB098"/>
    <w:lvl w:ilvl="0" w:tplc="5532B8CC">
      <w:start w:val="1"/>
      <w:numFmt w:val="bullet"/>
      <w:lvlText w:val="•"/>
      <w:lvlJc w:val="left"/>
      <w:pPr>
        <w:tabs>
          <w:tab w:val="num" w:pos="360"/>
        </w:tabs>
        <w:ind w:left="360" w:hanging="360"/>
      </w:pPr>
      <w:rPr>
        <w:rFonts w:ascii="Arial" w:hAnsi="Arial" w:hint="default"/>
      </w:rPr>
    </w:lvl>
    <w:lvl w:ilvl="1" w:tplc="D8327170">
      <w:start w:val="175"/>
      <w:numFmt w:val="bullet"/>
      <w:lvlText w:val="–"/>
      <w:lvlJc w:val="left"/>
      <w:pPr>
        <w:tabs>
          <w:tab w:val="num" w:pos="1080"/>
        </w:tabs>
        <w:ind w:left="1080" w:hanging="360"/>
      </w:pPr>
      <w:rPr>
        <w:rFonts w:ascii="Arial" w:hAnsi="Arial" w:hint="default"/>
      </w:rPr>
    </w:lvl>
    <w:lvl w:ilvl="2" w:tplc="5E346DB8" w:tentative="1">
      <w:start w:val="1"/>
      <w:numFmt w:val="bullet"/>
      <w:lvlText w:val="•"/>
      <w:lvlJc w:val="left"/>
      <w:pPr>
        <w:tabs>
          <w:tab w:val="num" w:pos="1800"/>
        </w:tabs>
        <w:ind w:left="1800" w:hanging="360"/>
      </w:pPr>
      <w:rPr>
        <w:rFonts w:ascii="Arial" w:hAnsi="Arial" w:hint="default"/>
      </w:rPr>
    </w:lvl>
    <w:lvl w:ilvl="3" w:tplc="88163288" w:tentative="1">
      <w:start w:val="1"/>
      <w:numFmt w:val="bullet"/>
      <w:lvlText w:val="•"/>
      <w:lvlJc w:val="left"/>
      <w:pPr>
        <w:tabs>
          <w:tab w:val="num" w:pos="2520"/>
        </w:tabs>
        <w:ind w:left="2520" w:hanging="360"/>
      </w:pPr>
      <w:rPr>
        <w:rFonts w:ascii="Arial" w:hAnsi="Arial" w:hint="default"/>
      </w:rPr>
    </w:lvl>
    <w:lvl w:ilvl="4" w:tplc="E20A5BEC" w:tentative="1">
      <w:start w:val="1"/>
      <w:numFmt w:val="bullet"/>
      <w:lvlText w:val="•"/>
      <w:lvlJc w:val="left"/>
      <w:pPr>
        <w:tabs>
          <w:tab w:val="num" w:pos="3240"/>
        </w:tabs>
        <w:ind w:left="3240" w:hanging="360"/>
      </w:pPr>
      <w:rPr>
        <w:rFonts w:ascii="Arial" w:hAnsi="Arial" w:hint="default"/>
      </w:rPr>
    </w:lvl>
    <w:lvl w:ilvl="5" w:tplc="E9006CDC" w:tentative="1">
      <w:start w:val="1"/>
      <w:numFmt w:val="bullet"/>
      <w:lvlText w:val="•"/>
      <w:lvlJc w:val="left"/>
      <w:pPr>
        <w:tabs>
          <w:tab w:val="num" w:pos="3960"/>
        </w:tabs>
        <w:ind w:left="3960" w:hanging="360"/>
      </w:pPr>
      <w:rPr>
        <w:rFonts w:ascii="Arial" w:hAnsi="Arial" w:hint="default"/>
      </w:rPr>
    </w:lvl>
    <w:lvl w:ilvl="6" w:tplc="C3C61EAA" w:tentative="1">
      <w:start w:val="1"/>
      <w:numFmt w:val="bullet"/>
      <w:lvlText w:val="•"/>
      <w:lvlJc w:val="left"/>
      <w:pPr>
        <w:tabs>
          <w:tab w:val="num" w:pos="4680"/>
        </w:tabs>
        <w:ind w:left="4680" w:hanging="360"/>
      </w:pPr>
      <w:rPr>
        <w:rFonts w:ascii="Arial" w:hAnsi="Arial" w:hint="default"/>
      </w:rPr>
    </w:lvl>
    <w:lvl w:ilvl="7" w:tplc="C34CD008" w:tentative="1">
      <w:start w:val="1"/>
      <w:numFmt w:val="bullet"/>
      <w:lvlText w:val="•"/>
      <w:lvlJc w:val="left"/>
      <w:pPr>
        <w:tabs>
          <w:tab w:val="num" w:pos="5400"/>
        </w:tabs>
        <w:ind w:left="5400" w:hanging="360"/>
      </w:pPr>
      <w:rPr>
        <w:rFonts w:ascii="Arial" w:hAnsi="Arial" w:hint="default"/>
      </w:rPr>
    </w:lvl>
    <w:lvl w:ilvl="8" w:tplc="5F04B82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77D5004"/>
    <w:multiLevelType w:val="hybridMultilevel"/>
    <w:tmpl w:val="FD9CEB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94601D"/>
    <w:multiLevelType w:val="hybridMultilevel"/>
    <w:tmpl w:val="225A5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1"/>
  </w:num>
  <w:num w:numId="4">
    <w:abstractNumId w:val="12"/>
  </w:num>
  <w:num w:numId="5">
    <w:abstractNumId w:val="8"/>
  </w:num>
  <w:num w:numId="6">
    <w:abstractNumId w:val="17"/>
  </w:num>
  <w:num w:numId="7">
    <w:abstractNumId w:val="2"/>
  </w:num>
  <w:num w:numId="8">
    <w:abstractNumId w:val="23"/>
  </w:num>
  <w:num w:numId="9">
    <w:abstractNumId w:val="9"/>
  </w:num>
  <w:num w:numId="10">
    <w:abstractNumId w:val="15"/>
  </w:num>
  <w:num w:numId="11">
    <w:abstractNumId w:val="16"/>
  </w:num>
  <w:num w:numId="12">
    <w:abstractNumId w:val="5"/>
  </w:num>
  <w:num w:numId="13">
    <w:abstractNumId w:val="6"/>
  </w:num>
  <w:num w:numId="14">
    <w:abstractNumId w:val="3"/>
  </w:num>
  <w:num w:numId="15">
    <w:abstractNumId w:val="7"/>
  </w:num>
  <w:num w:numId="16">
    <w:abstractNumId w:val="13"/>
  </w:num>
  <w:num w:numId="17">
    <w:abstractNumId w:val="10"/>
  </w:num>
  <w:num w:numId="18">
    <w:abstractNumId w:val="14"/>
  </w:num>
  <w:num w:numId="19">
    <w:abstractNumId w:val="19"/>
  </w:num>
  <w:num w:numId="20">
    <w:abstractNumId w:val="11"/>
  </w:num>
  <w:num w:numId="21">
    <w:abstractNumId w:val="18"/>
  </w:num>
  <w:num w:numId="22">
    <w:abstractNumId w:val="4"/>
  </w:num>
  <w:num w:numId="23">
    <w:abstractNumId w:val="22"/>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8C5"/>
    <w:rsid w:val="000031D6"/>
    <w:rsid w:val="00010064"/>
    <w:rsid w:val="00023EC1"/>
    <w:rsid w:val="000247C0"/>
    <w:rsid w:val="00027DEF"/>
    <w:rsid w:val="000335EE"/>
    <w:rsid w:val="00034348"/>
    <w:rsid w:val="00044B82"/>
    <w:rsid w:val="000457D3"/>
    <w:rsid w:val="000461A2"/>
    <w:rsid w:val="00055CCB"/>
    <w:rsid w:val="00057444"/>
    <w:rsid w:val="00057CC4"/>
    <w:rsid w:val="00060202"/>
    <w:rsid w:val="00060365"/>
    <w:rsid w:val="00060AA1"/>
    <w:rsid w:val="000734DA"/>
    <w:rsid w:val="000761BB"/>
    <w:rsid w:val="00086D05"/>
    <w:rsid w:val="000907DF"/>
    <w:rsid w:val="00091895"/>
    <w:rsid w:val="000918C5"/>
    <w:rsid w:val="000954AE"/>
    <w:rsid w:val="000A5474"/>
    <w:rsid w:val="000B01CD"/>
    <w:rsid w:val="000B2FC8"/>
    <w:rsid w:val="000C16A6"/>
    <w:rsid w:val="000C2A52"/>
    <w:rsid w:val="000C3A6B"/>
    <w:rsid w:val="000D37AC"/>
    <w:rsid w:val="000D6C9F"/>
    <w:rsid w:val="000D74F3"/>
    <w:rsid w:val="000E170E"/>
    <w:rsid w:val="000E43FF"/>
    <w:rsid w:val="000F2DEE"/>
    <w:rsid w:val="000F5AEE"/>
    <w:rsid w:val="000F6799"/>
    <w:rsid w:val="001010EE"/>
    <w:rsid w:val="00101350"/>
    <w:rsid w:val="001026E9"/>
    <w:rsid w:val="00102A4E"/>
    <w:rsid w:val="001064B8"/>
    <w:rsid w:val="001156C9"/>
    <w:rsid w:val="00122A4B"/>
    <w:rsid w:val="001252F6"/>
    <w:rsid w:val="0013715D"/>
    <w:rsid w:val="00140EA0"/>
    <w:rsid w:val="00141E79"/>
    <w:rsid w:val="0014200A"/>
    <w:rsid w:val="0014376B"/>
    <w:rsid w:val="0014768A"/>
    <w:rsid w:val="00147D68"/>
    <w:rsid w:val="001528FA"/>
    <w:rsid w:val="00153788"/>
    <w:rsid w:val="00161C8B"/>
    <w:rsid w:val="001639D5"/>
    <w:rsid w:val="00165DB9"/>
    <w:rsid w:val="00167F94"/>
    <w:rsid w:val="001720F2"/>
    <w:rsid w:val="001775FB"/>
    <w:rsid w:val="0018643E"/>
    <w:rsid w:val="001904BC"/>
    <w:rsid w:val="00191B9E"/>
    <w:rsid w:val="001926F0"/>
    <w:rsid w:val="00195921"/>
    <w:rsid w:val="00195EE7"/>
    <w:rsid w:val="00197B01"/>
    <w:rsid w:val="001A5E54"/>
    <w:rsid w:val="001B593D"/>
    <w:rsid w:val="001C27AC"/>
    <w:rsid w:val="001C3124"/>
    <w:rsid w:val="001C5425"/>
    <w:rsid w:val="001D549B"/>
    <w:rsid w:val="001D5CBE"/>
    <w:rsid w:val="001E304C"/>
    <w:rsid w:val="001E3159"/>
    <w:rsid w:val="001E4729"/>
    <w:rsid w:val="001E50EB"/>
    <w:rsid w:val="001E535B"/>
    <w:rsid w:val="001E57FC"/>
    <w:rsid w:val="001F0BA7"/>
    <w:rsid w:val="001F0D43"/>
    <w:rsid w:val="001F3898"/>
    <w:rsid w:val="001F415B"/>
    <w:rsid w:val="001F4A2B"/>
    <w:rsid w:val="001F4ACD"/>
    <w:rsid w:val="001F5B01"/>
    <w:rsid w:val="001F5B3B"/>
    <w:rsid w:val="001F7BF3"/>
    <w:rsid w:val="00200F98"/>
    <w:rsid w:val="0020615B"/>
    <w:rsid w:val="002139A0"/>
    <w:rsid w:val="0021470C"/>
    <w:rsid w:val="00214E78"/>
    <w:rsid w:val="00224B46"/>
    <w:rsid w:val="00225363"/>
    <w:rsid w:val="002356B0"/>
    <w:rsid w:val="00236EAC"/>
    <w:rsid w:val="002375DA"/>
    <w:rsid w:val="00240B43"/>
    <w:rsid w:val="00241971"/>
    <w:rsid w:val="002443C1"/>
    <w:rsid w:val="00244EE1"/>
    <w:rsid w:val="00250A5B"/>
    <w:rsid w:val="00253324"/>
    <w:rsid w:val="002564FB"/>
    <w:rsid w:val="00261E3C"/>
    <w:rsid w:val="00261FDA"/>
    <w:rsid w:val="00264BD1"/>
    <w:rsid w:val="002654A5"/>
    <w:rsid w:val="002661DC"/>
    <w:rsid w:val="0026732C"/>
    <w:rsid w:val="002674E6"/>
    <w:rsid w:val="00270F83"/>
    <w:rsid w:val="002724EA"/>
    <w:rsid w:val="00274822"/>
    <w:rsid w:val="00285538"/>
    <w:rsid w:val="00285C8D"/>
    <w:rsid w:val="00291C93"/>
    <w:rsid w:val="002938BB"/>
    <w:rsid w:val="002944FD"/>
    <w:rsid w:val="002955F3"/>
    <w:rsid w:val="00296C7C"/>
    <w:rsid w:val="00297E63"/>
    <w:rsid w:val="00297EA0"/>
    <w:rsid w:val="002A1145"/>
    <w:rsid w:val="002A1606"/>
    <w:rsid w:val="002A163D"/>
    <w:rsid w:val="002B0151"/>
    <w:rsid w:val="002B2310"/>
    <w:rsid w:val="002B76F4"/>
    <w:rsid w:val="002C01DA"/>
    <w:rsid w:val="002C3161"/>
    <w:rsid w:val="002D5304"/>
    <w:rsid w:val="002E3D87"/>
    <w:rsid w:val="002E5E12"/>
    <w:rsid w:val="002F1499"/>
    <w:rsid w:val="002F50AE"/>
    <w:rsid w:val="002F5C89"/>
    <w:rsid w:val="00304ADE"/>
    <w:rsid w:val="003066DC"/>
    <w:rsid w:val="0030751C"/>
    <w:rsid w:val="00310829"/>
    <w:rsid w:val="00312D6E"/>
    <w:rsid w:val="00315EC4"/>
    <w:rsid w:val="003166E0"/>
    <w:rsid w:val="003222FF"/>
    <w:rsid w:val="00332745"/>
    <w:rsid w:val="003332B5"/>
    <w:rsid w:val="00334BEE"/>
    <w:rsid w:val="003370C9"/>
    <w:rsid w:val="00341212"/>
    <w:rsid w:val="00343A38"/>
    <w:rsid w:val="00343C60"/>
    <w:rsid w:val="00350667"/>
    <w:rsid w:val="00351A82"/>
    <w:rsid w:val="00352A34"/>
    <w:rsid w:val="00352ABF"/>
    <w:rsid w:val="00352B15"/>
    <w:rsid w:val="00360AA6"/>
    <w:rsid w:val="00363CDE"/>
    <w:rsid w:val="00374936"/>
    <w:rsid w:val="003873FB"/>
    <w:rsid w:val="00391006"/>
    <w:rsid w:val="00391875"/>
    <w:rsid w:val="003922FE"/>
    <w:rsid w:val="00395466"/>
    <w:rsid w:val="003A0290"/>
    <w:rsid w:val="003A18C9"/>
    <w:rsid w:val="003A287D"/>
    <w:rsid w:val="003B046E"/>
    <w:rsid w:val="003B7E38"/>
    <w:rsid w:val="003C3B46"/>
    <w:rsid w:val="003C4857"/>
    <w:rsid w:val="003C4EA3"/>
    <w:rsid w:val="003D42FF"/>
    <w:rsid w:val="003D50E8"/>
    <w:rsid w:val="003D5C97"/>
    <w:rsid w:val="003E1969"/>
    <w:rsid w:val="003E1F17"/>
    <w:rsid w:val="003E69C1"/>
    <w:rsid w:val="003E7B37"/>
    <w:rsid w:val="003F5E2E"/>
    <w:rsid w:val="003F7955"/>
    <w:rsid w:val="00404521"/>
    <w:rsid w:val="00406F59"/>
    <w:rsid w:val="00407E11"/>
    <w:rsid w:val="00411E73"/>
    <w:rsid w:val="004156C3"/>
    <w:rsid w:val="00421D64"/>
    <w:rsid w:val="00426CA8"/>
    <w:rsid w:val="004316E2"/>
    <w:rsid w:val="004321CA"/>
    <w:rsid w:val="00441097"/>
    <w:rsid w:val="00444DF9"/>
    <w:rsid w:val="004458D3"/>
    <w:rsid w:val="00450A27"/>
    <w:rsid w:val="004512F6"/>
    <w:rsid w:val="004566EC"/>
    <w:rsid w:val="004629A7"/>
    <w:rsid w:val="00462CF2"/>
    <w:rsid w:val="00464142"/>
    <w:rsid w:val="00472D8B"/>
    <w:rsid w:val="00481146"/>
    <w:rsid w:val="004812C3"/>
    <w:rsid w:val="00484819"/>
    <w:rsid w:val="004858F4"/>
    <w:rsid w:val="004864F0"/>
    <w:rsid w:val="004875DA"/>
    <w:rsid w:val="00490BE3"/>
    <w:rsid w:val="0049680F"/>
    <w:rsid w:val="004A4269"/>
    <w:rsid w:val="004A50FC"/>
    <w:rsid w:val="004A53FB"/>
    <w:rsid w:val="004A7976"/>
    <w:rsid w:val="004B10AD"/>
    <w:rsid w:val="004B260E"/>
    <w:rsid w:val="004D39EF"/>
    <w:rsid w:val="004D7000"/>
    <w:rsid w:val="004D7331"/>
    <w:rsid w:val="004F1167"/>
    <w:rsid w:val="004F4A03"/>
    <w:rsid w:val="0050281D"/>
    <w:rsid w:val="00505DE3"/>
    <w:rsid w:val="00506F21"/>
    <w:rsid w:val="005102DB"/>
    <w:rsid w:val="0051476F"/>
    <w:rsid w:val="005222ED"/>
    <w:rsid w:val="00523EA9"/>
    <w:rsid w:val="00525E61"/>
    <w:rsid w:val="00537161"/>
    <w:rsid w:val="00537321"/>
    <w:rsid w:val="00537B67"/>
    <w:rsid w:val="00542542"/>
    <w:rsid w:val="005433DC"/>
    <w:rsid w:val="00543820"/>
    <w:rsid w:val="005471D8"/>
    <w:rsid w:val="00552995"/>
    <w:rsid w:val="0055656C"/>
    <w:rsid w:val="00571298"/>
    <w:rsid w:val="00572780"/>
    <w:rsid w:val="00573EC7"/>
    <w:rsid w:val="00574A9C"/>
    <w:rsid w:val="00574CD4"/>
    <w:rsid w:val="005763B8"/>
    <w:rsid w:val="0057681E"/>
    <w:rsid w:val="00582F5F"/>
    <w:rsid w:val="00583B66"/>
    <w:rsid w:val="00587CBC"/>
    <w:rsid w:val="00592B86"/>
    <w:rsid w:val="005A72C5"/>
    <w:rsid w:val="005B57BE"/>
    <w:rsid w:val="005B592E"/>
    <w:rsid w:val="005B7CD5"/>
    <w:rsid w:val="005C1165"/>
    <w:rsid w:val="005C2FC3"/>
    <w:rsid w:val="005C3839"/>
    <w:rsid w:val="005C4B2A"/>
    <w:rsid w:val="005C4D4C"/>
    <w:rsid w:val="005C7641"/>
    <w:rsid w:val="005D0612"/>
    <w:rsid w:val="005D1283"/>
    <w:rsid w:val="005D6F3D"/>
    <w:rsid w:val="005E0507"/>
    <w:rsid w:val="005E099A"/>
    <w:rsid w:val="005E4A2E"/>
    <w:rsid w:val="005E5531"/>
    <w:rsid w:val="005F10B4"/>
    <w:rsid w:val="005F1AE6"/>
    <w:rsid w:val="00601CE5"/>
    <w:rsid w:val="00604B2F"/>
    <w:rsid w:val="0061155A"/>
    <w:rsid w:val="00611B87"/>
    <w:rsid w:val="0062502C"/>
    <w:rsid w:val="00627422"/>
    <w:rsid w:val="00631B1B"/>
    <w:rsid w:val="00634D47"/>
    <w:rsid w:val="00637FE8"/>
    <w:rsid w:val="00655645"/>
    <w:rsid w:val="00657A51"/>
    <w:rsid w:val="00660E86"/>
    <w:rsid w:val="006619EC"/>
    <w:rsid w:val="0066243B"/>
    <w:rsid w:val="00670A71"/>
    <w:rsid w:val="00672E69"/>
    <w:rsid w:val="00672F5F"/>
    <w:rsid w:val="006735B9"/>
    <w:rsid w:val="00673630"/>
    <w:rsid w:val="00674CD5"/>
    <w:rsid w:val="00684B74"/>
    <w:rsid w:val="00692936"/>
    <w:rsid w:val="00695569"/>
    <w:rsid w:val="006A107A"/>
    <w:rsid w:val="006A21E4"/>
    <w:rsid w:val="006A2517"/>
    <w:rsid w:val="006A2902"/>
    <w:rsid w:val="006A5F93"/>
    <w:rsid w:val="006A6383"/>
    <w:rsid w:val="006A6A2A"/>
    <w:rsid w:val="006A7ACB"/>
    <w:rsid w:val="006B0D5D"/>
    <w:rsid w:val="006B5F8C"/>
    <w:rsid w:val="006B6C7E"/>
    <w:rsid w:val="006B7454"/>
    <w:rsid w:val="006C0C47"/>
    <w:rsid w:val="006C0CDF"/>
    <w:rsid w:val="006C17E9"/>
    <w:rsid w:val="006C222D"/>
    <w:rsid w:val="006C2BF7"/>
    <w:rsid w:val="006C4E15"/>
    <w:rsid w:val="006C652D"/>
    <w:rsid w:val="006C728F"/>
    <w:rsid w:val="006E3141"/>
    <w:rsid w:val="006E4152"/>
    <w:rsid w:val="006E57CC"/>
    <w:rsid w:val="006E661F"/>
    <w:rsid w:val="006F0BF0"/>
    <w:rsid w:val="007048C3"/>
    <w:rsid w:val="007074B7"/>
    <w:rsid w:val="00710703"/>
    <w:rsid w:val="00716860"/>
    <w:rsid w:val="00716E78"/>
    <w:rsid w:val="007178E7"/>
    <w:rsid w:val="00732146"/>
    <w:rsid w:val="007351DF"/>
    <w:rsid w:val="00736A38"/>
    <w:rsid w:val="0073715D"/>
    <w:rsid w:val="00742B5A"/>
    <w:rsid w:val="00743ED1"/>
    <w:rsid w:val="00744C93"/>
    <w:rsid w:val="007523BC"/>
    <w:rsid w:val="00752601"/>
    <w:rsid w:val="0075559E"/>
    <w:rsid w:val="00757137"/>
    <w:rsid w:val="00762A56"/>
    <w:rsid w:val="00763751"/>
    <w:rsid w:val="00763D53"/>
    <w:rsid w:val="007649C8"/>
    <w:rsid w:val="00764D1E"/>
    <w:rsid w:val="00772F56"/>
    <w:rsid w:val="007810B1"/>
    <w:rsid w:val="00783A61"/>
    <w:rsid w:val="00784470"/>
    <w:rsid w:val="00786C79"/>
    <w:rsid w:val="00787E2B"/>
    <w:rsid w:val="007925C4"/>
    <w:rsid w:val="00795F45"/>
    <w:rsid w:val="007A1653"/>
    <w:rsid w:val="007B75F0"/>
    <w:rsid w:val="007C0C0E"/>
    <w:rsid w:val="007D7F3B"/>
    <w:rsid w:val="007E4DD6"/>
    <w:rsid w:val="007E738A"/>
    <w:rsid w:val="00801C50"/>
    <w:rsid w:val="00807B00"/>
    <w:rsid w:val="00815AC0"/>
    <w:rsid w:val="00821596"/>
    <w:rsid w:val="0082659E"/>
    <w:rsid w:val="00833B58"/>
    <w:rsid w:val="00843227"/>
    <w:rsid w:val="00843842"/>
    <w:rsid w:val="0084677F"/>
    <w:rsid w:val="008514A3"/>
    <w:rsid w:val="00852BF7"/>
    <w:rsid w:val="008566FE"/>
    <w:rsid w:val="00860BCA"/>
    <w:rsid w:val="008624CC"/>
    <w:rsid w:val="00863550"/>
    <w:rsid w:val="008670DE"/>
    <w:rsid w:val="00873D9E"/>
    <w:rsid w:val="008769A0"/>
    <w:rsid w:val="00880EE3"/>
    <w:rsid w:val="00882AE1"/>
    <w:rsid w:val="00890A67"/>
    <w:rsid w:val="00891B9F"/>
    <w:rsid w:val="008930BC"/>
    <w:rsid w:val="0089513A"/>
    <w:rsid w:val="008A156F"/>
    <w:rsid w:val="008A1659"/>
    <w:rsid w:val="008A2803"/>
    <w:rsid w:val="008A2E4E"/>
    <w:rsid w:val="008A4F0B"/>
    <w:rsid w:val="008A5098"/>
    <w:rsid w:val="008A5C28"/>
    <w:rsid w:val="008A5C66"/>
    <w:rsid w:val="008A7479"/>
    <w:rsid w:val="008B08C6"/>
    <w:rsid w:val="008B116A"/>
    <w:rsid w:val="008B53A5"/>
    <w:rsid w:val="008B7C03"/>
    <w:rsid w:val="008C46CA"/>
    <w:rsid w:val="008C4CD6"/>
    <w:rsid w:val="008C5A5F"/>
    <w:rsid w:val="008D09EB"/>
    <w:rsid w:val="008D2020"/>
    <w:rsid w:val="008D39BB"/>
    <w:rsid w:val="008D6A80"/>
    <w:rsid w:val="008D7EC0"/>
    <w:rsid w:val="008F06F2"/>
    <w:rsid w:val="008F388B"/>
    <w:rsid w:val="008F4886"/>
    <w:rsid w:val="008F5DD8"/>
    <w:rsid w:val="00900635"/>
    <w:rsid w:val="00901943"/>
    <w:rsid w:val="009025DE"/>
    <w:rsid w:val="00903AB4"/>
    <w:rsid w:val="00911051"/>
    <w:rsid w:val="00911AA1"/>
    <w:rsid w:val="00912B2A"/>
    <w:rsid w:val="00912C58"/>
    <w:rsid w:val="0091385E"/>
    <w:rsid w:val="009153C3"/>
    <w:rsid w:val="00920CF6"/>
    <w:rsid w:val="00921D5D"/>
    <w:rsid w:val="0092607B"/>
    <w:rsid w:val="00926E32"/>
    <w:rsid w:val="009319EB"/>
    <w:rsid w:val="00934C51"/>
    <w:rsid w:val="0093527F"/>
    <w:rsid w:val="00946886"/>
    <w:rsid w:val="00947E9D"/>
    <w:rsid w:val="00950AB2"/>
    <w:rsid w:val="00954EEE"/>
    <w:rsid w:val="00960FA4"/>
    <w:rsid w:val="009635C8"/>
    <w:rsid w:val="00964248"/>
    <w:rsid w:val="00964F9D"/>
    <w:rsid w:val="00972A7A"/>
    <w:rsid w:val="009816E8"/>
    <w:rsid w:val="0098577F"/>
    <w:rsid w:val="0098744D"/>
    <w:rsid w:val="0099563D"/>
    <w:rsid w:val="009A1B4A"/>
    <w:rsid w:val="009A3898"/>
    <w:rsid w:val="009B725F"/>
    <w:rsid w:val="009B7BC5"/>
    <w:rsid w:val="009B7F1A"/>
    <w:rsid w:val="009C63E7"/>
    <w:rsid w:val="009D27CA"/>
    <w:rsid w:val="009D3D45"/>
    <w:rsid w:val="009D453A"/>
    <w:rsid w:val="009D5294"/>
    <w:rsid w:val="009D5B94"/>
    <w:rsid w:val="009E3AF5"/>
    <w:rsid w:val="009E4A31"/>
    <w:rsid w:val="009F606B"/>
    <w:rsid w:val="009F7389"/>
    <w:rsid w:val="00A0234D"/>
    <w:rsid w:val="00A02EE5"/>
    <w:rsid w:val="00A036DB"/>
    <w:rsid w:val="00A10912"/>
    <w:rsid w:val="00A109E8"/>
    <w:rsid w:val="00A1433C"/>
    <w:rsid w:val="00A16085"/>
    <w:rsid w:val="00A21D51"/>
    <w:rsid w:val="00A274EC"/>
    <w:rsid w:val="00A36B1B"/>
    <w:rsid w:val="00A372CF"/>
    <w:rsid w:val="00A373F8"/>
    <w:rsid w:val="00A45612"/>
    <w:rsid w:val="00A506E0"/>
    <w:rsid w:val="00A510A7"/>
    <w:rsid w:val="00A53C96"/>
    <w:rsid w:val="00A53F9B"/>
    <w:rsid w:val="00A547BF"/>
    <w:rsid w:val="00A54954"/>
    <w:rsid w:val="00A6189C"/>
    <w:rsid w:val="00A66AEA"/>
    <w:rsid w:val="00A67065"/>
    <w:rsid w:val="00A727DE"/>
    <w:rsid w:val="00A75C18"/>
    <w:rsid w:val="00A75D29"/>
    <w:rsid w:val="00A871AE"/>
    <w:rsid w:val="00A92595"/>
    <w:rsid w:val="00A9445B"/>
    <w:rsid w:val="00A94653"/>
    <w:rsid w:val="00A956C2"/>
    <w:rsid w:val="00A956F3"/>
    <w:rsid w:val="00AA3BE1"/>
    <w:rsid w:val="00AA6887"/>
    <w:rsid w:val="00AB40E3"/>
    <w:rsid w:val="00AB4825"/>
    <w:rsid w:val="00AB5B63"/>
    <w:rsid w:val="00AB7022"/>
    <w:rsid w:val="00AC05A9"/>
    <w:rsid w:val="00AC1384"/>
    <w:rsid w:val="00AC27AB"/>
    <w:rsid w:val="00AC5A61"/>
    <w:rsid w:val="00AC5B65"/>
    <w:rsid w:val="00AC7DF5"/>
    <w:rsid w:val="00AD0FE0"/>
    <w:rsid w:val="00AD46C4"/>
    <w:rsid w:val="00AD4E24"/>
    <w:rsid w:val="00AD64D2"/>
    <w:rsid w:val="00AE16EF"/>
    <w:rsid w:val="00AE6607"/>
    <w:rsid w:val="00AE673F"/>
    <w:rsid w:val="00AF01C1"/>
    <w:rsid w:val="00AF64CF"/>
    <w:rsid w:val="00B02748"/>
    <w:rsid w:val="00B04C91"/>
    <w:rsid w:val="00B07B97"/>
    <w:rsid w:val="00B14D8F"/>
    <w:rsid w:val="00B20065"/>
    <w:rsid w:val="00B23216"/>
    <w:rsid w:val="00B24C7F"/>
    <w:rsid w:val="00B30F6E"/>
    <w:rsid w:val="00B30FC8"/>
    <w:rsid w:val="00B375FA"/>
    <w:rsid w:val="00B401A4"/>
    <w:rsid w:val="00B42734"/>
    <w:rsid w:val="00B43CFE"/>
    <w:rsid w:val="00B51D3B"/>
    <w:rsid w:val="00B5730E"/>
    <w:rsid w:val="00B60AA8"/>
    <w:rsid w:val="00B61221"/>
    <w:rsid w:val="00B62155"/>
    <w:rsid w:val="00B636FF"/>
    <w:rsid w:val="00B72391"/>
    <w:rsid w:val="00B75493"/>
    <w:rsid w:val="00B8543A"/>
    <w:rsid w:val="00B86B59"/>
    <w:rsid w:val="00B960FF"/>
    <w:rsid w:val="00BB0254"/>
    <w:rsid w:val="00BB062E"/>
    <w:rsid w:val="00BB1906"/>
    <w:rsid w:val="00BB66F0"/>
    <w:rsid w:val="00BB67BB"/>
    <w:rsid w:val="00BB6D42"/>
    <w:rsid w:val="00BC24B9"/>
    <w:rsid w:val="00BC56B3"/>
    <w:rsid w:val="00BD06A6"/>
    <w:rsid w:val="00BE025F"/>
    <w:rsid w:val="00BE29E6"/>
    <w:rsid w:val="00BE33DB"/>
    <w:rsid w:val="00BE5CAD"/>
    <w:rsid w:val="00BF17BB"/>
    <w:rsid w:val="00BF2A16"/>
    <w:rsid w:val="00BF3250"/>
    <w:rsid w:val="00C00E89"/>
    <w:rsid w:val="00C04AAA"/>
    <w:rsid w:val="00C05C44"/>
    <w:rsid w:val="00C12765"/>
    <w:rsid w:val="00C242E1"/>
    <w:rsid w:val="00C26DA3"/>
    <w:rsid w:val="00C26DCF"/>
    <w:rsid w:val="00C32E40"/>
    <w:rsid w:val="00C34AD4"/>
    <w:rsid w:val="00C3751A"/>
    <w:rsid w:val="00C42B25"/>
    <w:rsid w:val="00C44C60"/>
    <w:rsid w:val="00C51984"/>
    <w:rsid w:val="00C538DD"/>
    <w:rsid w:val="00C55CF2"/>
    <w:rsid w:val="00C55E51"/>
    <w:rsid w:val="00C6044B"/>
    <w:rsid w:val="00C62A54"/>
    <w:rsid w:val="00C6384E"/>
    <w:rsid w:val="00C677BD"/>
    <w:rsid w:val="00C7243E"/>
    <w:rsid w:val="00C73F01"/>
    <w:rsid w:val="00C7503B"/>
    <w:rsid w:val="00C77E4B"/>
    <w:rsid w:val="00C85240"/>
    <w:rsid w:val="00C87E80"/>
    <w:rsid w:val="00C9085E"/>
    <w:rsid w:val="00C972DB"/>
    <w:rsid w:val="00CA265D"/>
    <w:rsid w:val="00CA42BA"/>
    <w:rsid w:val="00CA4B91"/>
    <w:rsid w:val="00CA7495"/>
    <w:rsid w:val="00CB1945"/>
    <w:rsid w:val="00CB369A"/>
    <w:rsid w:val="00CB37C9"/>
    <w:rsid w:val="00CC098C"/>
    <w:rsid w:val="00CC21DE"/>
    <w:rsid w:val="00CC2C17"/>
    <w:rsid w:val="00CC3BDB"/>
    <w:rsid w:val="00CC3DDC"/>
    <w:rsid w:val="00CC7CE9"/>
    <w:rsid w:val="00CD122D"/>
    <w:rsid w:val="00CD6965"/>
    <w:rsid w:val="00CE07F5"/>
    <w:rsid w:val="00CE11E4"/>
    <w:rsid w:val="00CE51E5"/>
    <w:rsid w:val="00CE66F2"/>
    <w:rsid w:val="00CF2447"/>
    <w:rsid w:val="00CF2992"/>
    <w:rsid w:val="00CF2AEC"/>
    <w:rsid w:val="00CF4E34"/>
    <w:rsid w:val="00D0147F"/>
    <w:rsid w:val="00D03CEF"/>
    <w:rsid w:val="00D11C9F"/>
    <w:rsid w:val="00D12723"/>
    <w:rsid w:val="00D14AB1"/>
    <w:rsid w:val="00D1540E"/>
    <w:rsid w:val="00D2248F"/>
    <w:rsid w:val="00D30FC8"/>
    <w:rsid w:val="00D32480"/>
    <w:rsid w:val="00D3677A"/>
    <w:rsid w:val="00D37FF8"/>
    <w:rsid w:val="00D40FCA"/>
    <w:rsid w:val="00D4268E"/>
    <w:rsid w:val="00D44BF3"/>
    <w:rsid w:val="00D528B9"/>
    <w:rsid w:val="00D559B6"/>
    <w:rsid w:val="00D601E3"/>
    <w:rsid w:val="00D61744"/>
    <w:rsid w:val="00D63FBF"/>
    <w:rsid w:val="00D64EFA"/>
    <w:rsid w:val="00D705A1"/>
    <w:rsid w:val="00D71BFC"/>
    <w:rsid w:val="00D75746"/>
    <w:rsid w:val="00D86287"/>
    <w:rsid w:val="00D907DC"/>
    <w:rsid w:val="00D94EA9"/>
    <w:rsid w:val="00DA014B"/>
    <w:rsid w:val="00DA075B"/>
    <w:rsid w:val="00DB12C8"/>
    <w:rsid w:val="00DB2935"/>
    <w:rsid w:val="00DB3C18"/>
    <w:rsid w:val="00DC1A24"/>
    <w:rsid w:val="00DD3116"/>
    <w:rsid w:val="00DE3CCE"/>
    <w:rsid w:val="00DE416A"/>
    <w:rsid w:val="00DE69C9"/>
    <w:rsid w:val="00DE73F9"/>
    <w:rsid w:val="00DE77B1"/>
    <w:rsid w:val="00DF59A1"/>
    <w:rsid w:val="00E01294"/>
    <w:rsid w:val="00E019EC"/>
    <w:rsid w:val="00E06DF7"/>
    <w:rsid w:val="00E10C98"/>
    <w:rsid w:val="00E17A4C"/>
    <w:rsid w:val="00E208EE"/>
    <w:rsid w:val="00E21482"/>
    <w:rsid w:val="00E21678"/>
    <w:rsid w:val="00E2174B"/>
    <w:rsid w:val="00E2598E"/>
    <w:rsid w:val="00E32F28"/>
    <w:rsid w:val="00E33A86"/>
    <w:rsid w:val="00E34169"/>
    <w:rsid w:val="00E3760A"/>
    <w:rsid w:val="00E44706"/>
    <w:rsid w:val="00E50C55"/>
    <w:rsid w:val="00E50CFC"/>
    <w:rsid w:val="00E51865"/>
    <w:rsid w:val="00E66637"/>
    <w:rsid w:val="00E734B3"/>
    <w:rsid w:val="00E7682F"/>
    <w:rsid w:val="00E85F31"/>
    <w:rsid w:val="00E9124D"/>
    <w:rsid w:val="00E93066"/>
    <w:rsid w:val="00E9481F"/>
    <w:rsid w:val="00EA100F"/>
    <w:rsid w:val="00EA1E21"/>
    <w:rsid w:val="00EA30B6"/>
    <w:rsid w:val="00EA3F84"/>
    <w:rsid w:val="00EB5B0F"/>
    <w:rsid w:val="00EC3929"/>
    <w:rsid w:val="00EE0248"/>
    <w:rsid w:val="00EE268A"/>
    <w:rsid w:val="00EE35B5"/>
    <w:rsid w:val="00EF595C"/>
    <w:rsid w:val="00F0056E"/>
    <w:rsid w:val="00F009BC"/>
    <w:rsid w:val="00F04A42"/>
    <w:rsid w:val="00F054EF"/>
    <w:rsid w:val="00F0600A"/>
    <w:rsid w:val="00F13B78"/>
    <w:rsid w:val="00F2096F"/>
    <w:rsid w:val="00F213D6"/>
    <w:rsid w:val="00F23E77"/>
    <w:rsid w:val="00F31237"/>
    <w:rsid w:val="00F33363"/>
    <w:rsid w:val="00F35551"/>
    <w:rsid w:val="00F43AE8"/>
    <w:rsid w:val="00F44C7A"/>
    <w:rsid w:val="00F52F5C"/>
    <w:rsid w:val="00F54A53"/>
    <w:rsid w:val="00F55746"/>
    <w:rsid w:val="00F56BBA"/>
    <w:rsid w:val="00F6458C"/>
    <w:rsid w:val="00F654BE"/>
    <w:rsid w:val="00F66348"/>
    <w:rsid w:val="00F7065A"/>
    <w:rsid w:val="00F74424"/>
    <w:rsid w:val="00F757E2"/>
    <w:rsid w:val="00F8028E"/>
    <w:rsid w:val="00F80A74"/>
    <w:rsid w:val="00F83BBE"/>
    <w:rsid w:val="00F8541A"/>
    <w:rsid w:val="00F90EDB"/>
    <w:rsid w:val="00F945C6"/>
    <w:rsid w:val="00FA2DB0"/>
    <w:rsid w:val="00FA30D0"/>
    <w:rsid w:val="00FA6524"/>
    <w:rsid w:val="00FB3E76"/>
    <w:rsid w:val="00FC02BC"/>
    <w:rsid w:val="00FC0FAB"/>
    <w:rsid w:val="00FC20AD"/>
    <w:rsid w:val="00FC5D39"/>
    <w:rsid w:val="00FC6DF7"/>
    <w:rsid w:val="00FD0349"/>
    <w:rsid w:val="00FD685A"/>
    <w:rsid w:val="00FD7895"/>
    <w:rsid w:val="00FE37D7"/>
    <w:rsid w:val="00FE617C"/>
    <w:rsid w:val="00FE6292"/>
    <w:rsid w:val="00FE7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A6DAF0B"/>
  <w15:docId w15:val="{AFD3B4FA-5B20-4E6B-BA5B-A82544AA6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8C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0918C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0918C5"/>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918C5"/>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0918C5"/>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0918C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918C5"/>
    <w:rPr>
      <w:rFonts w:ascii="Arial" w:eastAsia="Times New Roman" w:hAnsi="Arial" w:cs="Times New Roman"/>
      <w:b/>
      <w:i/>
      <w:noProof/>
      <w:sz w:val="18"/>
      <w:szCs w:val="20"/>
      <w:lang w:val="en-GB" w:eastAsia="en-GB"/>
    </w:rPr>
  </w:style>
  <w:style w:type="paragraph" w:styleId="Caption">
    <w:name w:val="caption"/>
    <w:aliases w:val="cap"/>
    <w:basedOn w:val="Normal"/>
    <w:next w:val="Normal"/>
    <w:qFormat/>
    <w:rsid w:val="000918C5"/>
    <w:pPr>
      <w:spacing w:before="120" w:after="120"/>
    </w:pPr>
    <w:rPr>
      <w:b/>
    </w:rPr>
  </w:style>
  <w:style w:type="character" w:styleId="Hyperlink">
    <w:name w:val="Hyperlink"/>
    <w:rsid w:val="000918C5"/>
    <w:rPr>
      <w:color w:val="0000FF"/>
      <w:u w:val="single"/>
    </w:rPr>
  </w:style>
  <w:style w:type="character" w:customStyle="1" w:styleId="Heading2Char1">
    <w:name w:val="Heading 2 Char1"/>
    <w:aliases w:val="H2 Char1,h2 Char1,DO NOT USE_h2 Char,h21 Char,Head2A Char,2 Char,UNDERRUBRIK 1-2 Char,H2 Char Char,h2 Char Char"/>
    <w:link w:val="Heading2"/>
    <w:rsid w:val="000918C5"/>
    <w:rPr>
      <w:rFonts w:ascii="Arial" w:eastAsia="Times New Roman" w:hAnsi="Arial" w:cs="Times New Roman"/>
      <w:sz w:val="32"/>
      <w:szCs w:val="20"/>
      <w:lang w:val="en-GB" w:eastAsia="en-GB"/>
    </w:rPr>
  </w:style>
  <w:style w:type="paragraph" w:styleId="Header">
    <w:name w:val="header"/>
    <w:basedOn w:val="Normal"/>
    <w:link w:val="HeaderChar"/>
    <w:uiPriority w:val="99"/>
    <w:unhideWhenUsed/>
    <w:rsid w:val="000918C5"/>
    <w:pPr>
      <w:tabs>
        <w:tab w:val="center" w:pos="4680"/>
        <w:tab w:val="right" w:pos="9360"/>
      </w:tabs>
      <w:spacing w:after="0"/>
    </w:pPr>
  </w:style>
  <w:style w:type="character" w:customStyle="1" w:styleId="HeaderChar">
    <w:name w:val="Header Char"/>
    <w:basedOn w:val="DefaultParagraphFont"/>
    <w:link w:val="Header"/>
    <w:uiPriority w:val="99"/>
    <w:rsid w:val="000918C5"/>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AD64D2"/>
    <w:pPr>
      <w:ind w:left="720"/>
      <w:contextualSpacing/>
    </w:pPr>
  </w:style>
  <w:style w:type="paragraph" w:styleId="NormalWeb">
    <w:name w:val="Normal (Web)"/>
    <w:basedOn w:val="Normal"/>
    <w:uiPriority w:val="99"/>
    <w:semiHidden/>
    <w:unhideWhenUsed/>
    <w:rsid w:val="003C3B46"/>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styleId="BalloonText">
    <w:name w:val="Balloon Text"/>
    <w:basedOn w:val="Normal"/>
    <w:link w:val="BalloonTextChar"/>
    <w:uiPriority w:val="99"/>
    <w:semiHidden/>
    <w:unhideWhenUsed/>
    <w:rsid w:val="00055C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5CCB"/>
    <w:rPr>
      <w:rFonts w:ascii="Segoe UI" w:eastAsia="Times New Roman" w:hAnsi="Segoe UI" w:cs="Segoe UI"/>
      <w:sz w:val="18"/>
      <w:szCs w:val="18"/>
      <w:lang w:val="en-GB" w:eastAsia="en-GB"/>
    </w:rPr>
  </w:style>
  <w:style w:type="character" w:styleId="CommentReference">
    <w:name w:val="annotation reference"/>
    <w:basedOn w:val="DefaultParagraphFont"/>
    <w:uiPriority w:val="99"/>
    <w:semiHidden/>
    <w:unhideWhenUsed/>
    <w:rsid w:val="00A506E0"/>
    <w:rPr>
      <w:sz w:val="16"/>
      <w:szCs w:val="16"/>
    </w:rPr>
  </w:style>
  <w:style w:type="paragraph" w:styleId="CommentText">
    <w:name w:val="annotation text"/>
    <w:basedOn w:val="Normal"/>
    <w:link w:val="CommentTextChar"/>
    <w:uiPriority w:val="99"/>
    <w:semiHidden/>
    <w:unhideWhenUsed/>
    <w:rsid w:val="00A506E0"/>
  </w:style>
  <w:style w:type="character" w:customStyle="1" w:styleId="CommentTextChar">
    <w:name w:val="Comment Text Char"/>
    <w:basedOn w:val="DefaultParagraphFont"/>
    <w:link w:val="CommentText"/>
    <w:uiPriority w:val="99"/>
    <w:semiHidden/>
    <w:rsid w:val="00A506E0"/>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A506E0"/>
    <w:rPr>
      <w:b/>
      <w:bCs/>
    </w:rPr>
  </w:style>
  <w:style w:type="character" w:customStyle="1" w:styleId="CommentSubjectChar">
    <w:name w:val="Comment Subject Char"/>
    <w:basedOn w:val="CommentTextChar"/>
    <w:link w:val="CommentSubject"/>
    <w:uiPriority w:val="99"/>
    <w:semiHidden/>
    <w:rsid w:val="00A506E0"/>
    <w:rPr>
      <w:rFonts w:ascii="Times New Roman" w:eastAsia="Times New Roman" w:hAnsi="Times New Roman" w:cs="Times New Roman"/>
      <w:b/>
      <w:bCs/>
      <w:sz w:val="20"/>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B76F4"/>
    <w:pPr>
      <w:overflowPunct/>
      <w:autoSpaceDE/>
      <w:autoSpaceDN/>
      <w:adjustRightInd/>
      <w:spacing w:after="120"/>
      <w:textAlignment w:val="auto"/>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76F4"/>
    <w:rPr>
      <w:rFonts w:ascii="Times New Roman" w:eastAsia="SimSun" w:hAnsi="Times New Roman" w:cs="Times New Roman"/>
      <w:sz w:val="20"/>
      <w:szCs w:val="20"/>
      <w:lang w:val="en-GB"/>
    </w:rPr>
  </w:style>
  <w:style w:type="table" w:styleId="TableGrid">
    <w:name w:val="Table Grid"/>
    <w:basedOn w:val="TableNormal"/>
    <w:uiPriority w:val="39"/>
    <w:rsid w:val="00D94EA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D122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044960">
      <w:bodyDiv w:val="1"/>
      <w:marLeft w:val="0"/>
      <w:marRight w:val="0"/>
      <w:marTop w:val="0"/>
      <w:marBottom w:val="0"/>
      <w:divBdr>
        <w:top w:val="none" w:sz="0" w:space="0" w:color="auto"/>
        <w:left w:val="none" w:sz="0" w:space="0" w:color="auto"/>
        <w:bottom w:val="none" w:sz="0" w:space="0" w:color="auto"/>
        <w:right w:val="none" w:sz="0" w:space="0" w:color="auto"/>
      </w:divBdr>
    </w:div>
    <w:div w:id="261650416">
      <w:bodyDiv w:val="1"/>
      <w:marLeft w:val="0"/>
      <w:marRight w:val="0"/>
      <w:marTop w:val="0"/>
      <w:marBottom w:val="0"/>
      <w:divBdr>
        <w:top w:val="none" w:sz="0" w:space="0" w:color="auto"/>
        <w:left w:val="none" w:sz="0" w:space="0" w:color="auto"/>
        <w:bottom w:val="none" w:sz="0" w:space="0" w:color="auto"/>
        <w:right w:val="none" w:sz="0" w:space="0" w:color="auto"/>
      </w:divBdr>
    </w:div>
    <w:div w:id="458571634">
      <w:bodyDiv w:val="1"/>
      <w:marLeft w:val="0"/>
      <w:marRight w:val="0"/>
      <w:marTop w:val="0"/>
      <w:marBottom w:val="0"/>
      <w:divBdr>
        <w:top w:val="none" w:sz="0" w:space="0" w:color="auto"/>
        <w:left w:val="none" w:sz="0" w:space="0" w:color="auto"/>
        <w:bottom w:val="none" w:sz="0" w:space="0" w:color="auto"/>
        <w:right w:val="none" w:sz="0" w:space="0" w:color="auto"/>
      </w:divBdr>
    </w:div>
    <w:div w:id="608510866">
      <w:bodyDiv w:val="1"/>
      <w:marLeft w:val="0"/>
      <w:marRight w:val="0"/>
      <w:marTop w:val="0"/>
      <w:marBottom w:val="0"/>
      <w:divBdr>
        <w:top w:val="none" w:sz="0" w:space="0" w:color="auto"/>
        <w:left w:val="none" w:sz="0" w:space="0" w:color="auto"/>
        <w:bottom w:val="none" w:sz="0" w:space="0" w:color="auto"/>
        <w:right w:val="none" w:sz="0" w:space="0" w:color="auto"/>
      </w:divBdr>
    </w:div>
    <w:div w:id="671221457">
      <w:bodyDiv w:val="1"/>
      <w:marLeft w:val="0"/>
      <w:marRight w:val="0"/>
      <w:marTop w:val="0"/>
      <w:marBottom w:val="0"/>
      <w:divBdr>
        <w:top w:val="none" w:sz="0" w:space="0" w:color="auto"/>
        <w:left w:val="none" w:sz="0" w:space="0" w:color="auto"/>
        <w:bottom w:val="none" w:sz="0" w:space="0" w:color="auto"/>
        <w:right w:val="none" w:sz="0" w:space="0" w:color="auto"/>
      </w:divBdr>
    </w:div>
    <w:div w:id="677194680">
      <w:bodyDiv w:val="1"/>
      <w:marLeft w:val="0"/>
      <w:marRight w:val="0"/>
      <w:marTop w:val="0"/>
      <w:marBottom w:val="0"/>
      <w:divBdr>
        <w:top w:val="none" w:sz="0" w:space="0" w:color="auto"/>
        <w:left w:val="none" w:sz="0" w:space="0" w:color="auto"/>
        <w:bottom w:val="none" w:sz="0" w:space="0" w:color="auto"/>
        <w:right w:val="none" w:sz="0" w:space="0" w:color="auto"/>
      </w:divBdr>
    </w:div>
    <w:div w:id="830675535">
      <w:bodyDiv w:val="1"/>
      <w:marLeft w:val="0"/>
      <w:marRight w:val="0"/>
      <w:marTop w:val="0"/>
      <w:marBottom w:val="0"/>
      <w:divBdr>
        <w:top w:val="none" w:sz="0" w:space="0" w:color="auto"/>
        <w:left w:val="none" w:sz="0" w:space="0" w:color="auto"/>
        <w:bottom w:val="none" w:sz="0" w:space="0" w:color="auto"/>
        <w:right w:val="none" w:sz="0" w:space="0" w:color="auto"/>
      </w:divBdr>
    </w:div>
    <w:div w:id="1350643809">
      <w:bodyDiv w:val="1"/>
      <w:marLeft w:val="0"/>
      <w:marRight w:val="0"/>
      <w:marTop w:val="0"/>
      <w:marBottom w:val="0"/>
      <w:divBdr>
        <w:top w:val="none" w:sz="0" w:space="0" w:color="auto"/>
        <w:left w:val="none" w:sz="0" w:space="0" w:color="auto"/>
        <w:bottom w:val="none" w:sz="0" w:space="0" w:color="auto"/>
        <w:right w:val="none" w:sz="0" w:space="0" w:color="auto"/>
      </w:divBdr>
      <w:divsChild>
        <w:div w:id="1590384198">
          <w:marLeft w:val="360"/>
          <w:marRight w:val="0"/>
          <w:marTop w:val="200"/>
          <w:marBottom w:val="0"/>
          <w:divBdr>
            <w:top w:val="none" w:sz="0" w:space="0" w:color="auto"/>
            <w:left w:val="none" w:sz="0" w:space="0" w:color="auto"/>
            <w:bottom w:val="none" w:sz="0" w:space="0" w:color="auto"/>
            <w:right w:val="none" w:sz="0" w:space="0" w:color="auto"/>
          </w:divBdr>
        </w:div>
      </w:divsChild>
    </w:div>
    <w:div w:id="1550916041">
      <w:bodyDiv w:val="1"/>
      <w:marLeft w:val="0"/>
      <w:marRight w:val="0"/>
      <w:marTop w:val="0"/>
      <w:marBottom w:val="0"/>
      <w:divBdr>
        <w:top w:val="none" w:sz="0" w:space="0" w:color="auto"/>
        <w:left w:val="none" w:sz="0" w:space="0" w:color="auto"/>
        <w:bottom w:val="none" w:sz="0" w:space="0" w:color="auto"/>
        <w:right w:val="none" w:sz="0" w:space="0" w:color="auto"/>
      </w:divBdr>
      <w:divsChild>
        <w:div w:id="403257971">
          <w:marLeft w:val="360"/>
          <w:marRight w:val="0"/>
          <w:marTop w:val="200"/>
          <w:marBottom w:val="0"/>
          <w:divBdr>
            <w:top w:val="none" w:sz="0" w:space="0" w:color="auto"/>
            <w:left w:val="none" w:sz="0" w:space="0" w:color="auto"/>
            <w:bottom w:val="none" w:sz="0" w:space="0" w:color="auto"/>
            <w:right w:val="none" w:sz="0" w:space="0" w:color="auto"/>
          </w:divBdr>
        </w:div>
        <w:div w:id="1007908335">
          <w:marLeft w:val="1080"/>
          <w:marRight w:val="0"/>
          <w:marTop w:val="100"/>
          <w:marBottom w:val="0"/>
          <w:divBdr>
            <w:top w:val="none" w:sz="0" w:space="0" w:color="auto"/>
            <w:left w:val="none" w:sz="0" w:space="0" w:color="auto"/>
            <w:bottom w:val="none" w:sz="0" w:space="0" w:color="auto"/>
            <w:right w:val="none" w:sz="0" w:space="0" w:color="auto"/>
          </w:divBdr>
        </w:div>
        <w:div w:id="1328709121">
          <w:marLeft w:val="1080"/>
          <w:marRight w:val="0"/>
          <w:marTop w:val="100"/>
          <w:marBottom w:val="0"/>
          <w:divBdr>
            <w:top w:val="none" w:sz="0" w:space="0" w:color="auto"/>
            <w:left w:val="none" w:sz="0" w:space="0" w:color="auto"/>
            <w:bottom w:val="none" w:sz="0" w:space="0" w:color="auto"/>
            <w:right w:val="none" w:sz="0" w:space="0" w:color="auto"/>
          </w:divBdr>
        </w:div>
        <w:div w:id="788620447">
          <w:marLeft w:val="1080"/>
          <w:marRight w:val="0"/>
          <w:marTop w:val="100"/>
          <w:marBottom w:val="0"/>
          <w:divBdr>
            <w:top w:val="none" w:sz="0" w:space="0" w:color="auto"/>
            <w:left w:val="none" w:sz="0" w:space="0" w:color="auto"/>
            <w:bottom w:val="none" w:sz="0" w:space="0" w:color="auto"/>
            <w:right w:val="none" w:sz="0" w:space="0" w:color="auto"/>
          </w:divBdr>
        </w:div>
      </w:divsChild>
    </w:div>
    <w:div w:id="1600408996">
      <w:bodyDiv w:val="1"/>
      <w:marLeft w:val="0"/>
      <w:marRight w:val="0"/>
      <w:marTop w:val="0"/>
      <w:marBottom w:val="0"/>
      <w:divBdr>
        <w:top w:val="none" w:sz="0" w:space="0" w:color="auto"/>
        <w:left w:val="none" w:sz="0" w:space="0" w:color="auto"/>
        <w:bottom w:val="none" w:sz="0" w:space="0" w:color="auto"/>
        <w:right w:val="none" w:sz="0" w:space="0" w:color="auto"/>
      </w:divBdr>
    </w:div>
    <w:div w:id="1850556726">
      <w:bodyDiv w:val="1"/>
      <w:marLeft w:val="0"/>
      <w:marRight w:val="0"/>
      <w:marTop w:val="0"/>
      <w:marBottom w:val="0"/>
      <w:divBdr>
        <w:top w:val="none" w:sz="0" w:space="0" w:color="auto"/>
        <w:left w:val="none" w:sz="0" w:space="0" w:color="auto"/>
        <w:bottom w:val="none" w:sz="0" w:space="0" w:color="auto"/>
        <w:right w:val="none" w:sz="0" w:space="0" w:color="auto"/>
      </w:divBdr>
      <w:divsChild>
        <w:div w:id="1386680916">
          <w:marLeft w:val="360"/>
          <w:marRight w:val="0"/>
          <w:marTop w:val="200"/>
          <w:marBottom w:val="0"/>
          <w:divBdr>
            <w:top w:val="none" w:sz="0" w:space="0" w:color="auto"/>
            <w:left w:val="none" w:sz="0" w:space="0" w:color="auto"/>
            <w:bottom w:val="none" w:sz="0" w:space="0" w:color="auto"/>
            <w:right w:val="none" w:sz="0" w:space="0" w:color="auto"/>
          </w:divBdr>
        </w:div>
        <w:div w:id="1138573408">
          <w:marLeft w:val="1080"/>
          <w:marRight w:val="0"/>
          <w:marTop w:val="100"/>
          <w:marBottom w:val="0"/>
          <w:divBdr>
            <w:top w:val="none" w:sz="0" w:space="0" w:color="auto"/>
            <w:left w:val="none" w:sz="0" w:space="0" w:color="auto"/>
            <w:bottom w:val="none" w:sz="0" w:space="0" w:color="auto"/>
            <w:right w:val="none" w:sz="0" w:space="0" w:color="auto"/>
          </w:divBdr>
        </w:div>
        <w:div w:id="1945964651">
          <w:marLeft w:val="360"/>
          <w:marRight w:val="0"/>
          <w:marTop w:val="200"/>
          <w:marBottom w:val="0"/>
          <w:divBdr>
            <w:top w:val="none" w:sz="0" w:space="0" w:color="auto"/>
            <w:left w:val="none" w:sz="0" w:space="0" w:color="auto"/>
            <w:bottom w:val="none" w:sz="0" w:space="0" w:color="auto"/>
            <w:right w:val="none" w:sz="0" w:space="0" w:color="auto"/>
          </w:divBdr>
        </w:div>
        <w:div w:id="1944914613">
          <w:marLeft w:val="1080"/>
          <w:marRight w:val="0"/>
          <w:marTop w:val="100"/>
          <w:marBottom w:val="0"/>
          <w:divBdr>
            <w:top w:val="none" w:sz="0" w:space="0" w:color="auto"/>
            <w:left w:val="none" w:sz="0" w:space="0" w:color="auto"/>
            <w:bottom w:val="none" w:sz="0" w:space="0" w:color="auto"/>
            <w:right w:val="none" w:sz="0" w:space="0" w:color="auto"/>
          </w:divBdr>
        </w:div>
        <w:div w:id="1831868334">
          <w:marLeft w:val="360"/>
          <w:marRight w:val="0"/>
          <w:marTop w:val="200"/>
          <w:marBottom w:val="0"/>
          <w:divBdr>
            <w:top w:val="none" w:sz="0" w:space="0" w:color="auto"/>
            <w:left w:val="none" w:sz="0" w:space="0" w:color="auto"/>
            <w:bottom w:val="none" w:sz="0" w:space="0" w:color="auto"/>
            <w:right w:val="none" w:sz="0" w:space="0" w:color="auto"/>
          </w:divBdr>
        </w:div>
        <w:div w:id="1813018572">
          <w:marLeft w:val="360"/>
          <w:marRight w:val="0"/>
          <w:marTop w:val="200"/>
          <w:marBottom w:val="0"/>
          <w:divBdr>
            <w:top w:val="none" w:sz="0" w:space="0" w:color="auto"/>
            <w:left w:val="none" w:sz="0" w:space="0" w:color="auto"/>
            <w:bottom w:val="none" w:sz="0" w:space="0" w:color="auto"/>
            <w:right w:val="none" w:sz="0" w:space="0" w:color="auto"/>
          </w:divBdr>
        </w:div>
      </w:divsChild>
    </w:div>
    <w:div w:id="1853569930">
      <w:bodyDiv w:val="1"/>
      <w:marLeft w:val="0"/>
      <w:marRight w:val="0"/>
      <w:marTop w:val="0"/>
      <w:marBottom w:val="0"/>
      <w:divBdr>
        <w:top w:val="none" w:sz="0" w:space="0" w:color="auto"/>
        <w:left w:val="none" w:sz="0" w:space="0" w:color="auto"/>
        <w:bottom w:val="none" w:sz="0" w:space="0" w:color="auto"/>
        <w:right w:val="none" w:sz="0" w:space="0" w:color="auto"/>
      </w:divBdr>
    </w:div>
    <w:div w:id="2041467236">
      <w:bodyDiv w:val="1"/>
      <w:marLeft w:val="0"/>
      <w:marRight w:val="0"/>
      <w:marTop w:val="0"/>
      <w:marBottom w:val="0"/>
      <w:divBdr>
        <w:top w:val="none" w:sz="0" w:space="0" w:color="auto"/>
        <w:left w:val="none" w:sz="0" w:space="0" w:color="auto"/>
        <w:bottom w:val="none" w:sz="0" w:space="0" w:color="auto"/>
        <w:right w:val="none" w:sz="0" w:space="0" w:color="auto"/>
      </w:divBdr>
    </w:div>
    <w:div w:id="2137068318">
      <w:bodyDiv w:val="1"/>
      <w:marLeft w:val="0"/>
      <w:marRight w:val="0"/>
      <w:marTop w:val="0"/>
      <w:marBottom w:val="0"/>
      <w:divBdr>
        <w:top w:val="none" w:sz="0" w:space="0" w:color="auto"/>
        <w:left w:val="none" w:sz="0" w:space="0" w:color="auto"/>
        <w:bottom w:val="none" w:sz="0" w:space="0" w:color="auto"/>
        <w:right w:val="none" w:sz="0" w:space="0" w:color="auto"/>
      </w:divBdr>
      <w:divsChild>
        <w:div w:id="678701166">
          <w:marLeft w:val="360"/>
          <w:marRight w:val="0"/>
          <w:marTop w:val="200"/>
          <w:marBottom w:val="0"/>
          <w:divBdr>
            <w:top w:val="none" w:sz="0" w:space="0" w:color="auto"/>
            <w:left w:val="none" w:sz="0" w:space="0" w:color="auto"/>
            <w:bottom w:val="none" w:sz="0" w:space="0" w:color="auto"/>
            <w:right w:val="none" w:sz="0" w:space="0" w:color="auto"/>
          </w:divBdr>
        </w:div>
        <w:div w:id="1520585897">
          <w:marLeft w:val="1080"/>
          <w:marRight w:val="0"/>
          <w:marTop w:val="100"/>
          <w:marBottom w:val="0"/>
          <w:divBdr>
            <w:top w:val="none" w:sz="0" w:space="0" w:color="auto"/>
            <w:left w:val="none" w:sz="0" w:space="0" w:color="auto"/>
            <w:bottom w:val="none" w:sz="0" w:space="0" w:color="auto"/>
            <w:right w:val="none" w:sz="0" w:space="0" w:color="auto"/>
          </w:divBdr>
        </w:div>
        <w:div w:id="1623072271">
          <w:marLeft w:val="1080"/>
          <w:marRight w:val="0"/>
          <w:marTop w:val="100"/>
          <w:marBottom w:val="0"/>
          <w:divBdr>
            <w:top w:val="none" w:sz="0" w:space="0" w:color="auto"/>
            <w:left w:val="none" w:sz="0" w:space="0" w:color="auto"/>
            <w:bottom w:val="none" w:sz="0" w:space="0" w:color="auto"/>
            <w:right w:val="none" w:sz="0" w:space="0" w:color="auto"/>
          </w:divBdr>
        </w:div>
        <w:div w:id="112959144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tatista.com/statistics/377977/tablet-users-worldwide-forecast/"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E278A-C64A-498F-A386-A6B721FBA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1950</Words>
  <Characters>10181</Characters>
  <Application>Microsoft Office Word</Application>
  <DocSecurity>0</DocSecurity>
  <Lines>246</Lines>
  <Paragraphs>118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12022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CTPClassification=CTP_PUBLIC:VisualMarkings=, CTPClassification=CTP_NT</cp:keywords>
  <dc:description/>
  <cp:lastModifiedBy>Vera Lopez, Aida L</cp:lastModifiedBy>
  <cp:revision>3</cp:revision>
  <dcterms:created xsi:type="dcterms:W3CDTF">2018-04-06T21:12:00Z</dcterms:created>
  <dcterms:modified xsi:type="dcterms:W3CDTF">2018-04-06T22:01:00Z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a95c9ce2-24ad-4bfa-85f0-e29c65e37a74</vt:lpwstr>
  </property>
  <property fmtid="{D5CDD505-2E9C-101B-9397-08002B2CF9AE}" pid="3" name="CTP_TimeStamp">
    <vt:lpwstr>2018-04-06 22:01:42Z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